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65008" w14:textId="2869EF1B" w:rsidR="0004540F" w:rsidRDefault="00CC4D92" w:rsidP="00CC4D92">
      <w:pPr>
        <w:tabs>
          <w:tab w:val="left" w:pos="3686"/>
        </w:tabs>
        <w:spacing w:after="0"/>
        <w:rPr>
          <w:b/>
          <w:sz w:val="24"/>
        </w:rPr>
      </w:pPr>
      <w:r w:rsidRPr="00CC4D92">
        <w:rPr>
          <w:b/>
          <w:sz w:val="24"/>
        </w:rPr>
        <w:t>UNE</w:t>
      </w:r>
      <w:r w:rsidR="00D806D3">
        <w:rPr>
          <w:b/>
          <w:sz w:val="24"/>
        </w:rPr>
        <w:t xml:space="preserve"> L&amp;T</w:t>
      </w:r>
      <w:r w:rsidRPr="00CC4D92">
        <w:rPr>
          <w:b/>
          <w:sz w:val="24"/>
        </w:rPr>
        <w:t xml:space="preserve"> </w:t>
      </w:r>
      <w:r w:rsidR="00D806D3" w:rsidRPr="00CC4D92">
        <w:rPr>
          <w:b/>
          <w:sz w:val="24"/>
        </w:rPr>
        <w:t>Symposium 2024</w:t>
      </w:r>
      <w:r w:rsidR="00D40498">
        <w:rPr>
          <w:b/>
          <w:sz w:val="24"/>
        </w:rPr>
        <w:t xml:space="preserve"> – Presentation Synopsis</w:t>
      </w:r>
    </w:p>
    <w:p w14:paraId="12BD76BA" w14:textId="6D7F7D1F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1. Title of Presentation:</w:t>
      </w:r>
    </w:p>
    <w:p w14:paraId="1DE85D45" w14:textId="59C6C20C" w:rsidR="0004540F" w:rsidRDefault="00CB1EB8" w:rsidP="0004540F">
      <w:pPr>
        <w:spacing w:after="0"/>
        <w:rPr>
          <w:b/>
          <w:bCs/>
        </w:rPr>
      </w:pPr>
      <w:r w:rsidRPr="00CB1EB8">
        <w:rPr>
          <w:b/>
          <w:bCs/>
        </w:rPr>
        <w:t>From Professional Coaching to Academic Foundations: Rebuilding First-Year EXSC Curriculum Around Core Academic Skills</w:t>
      </w:r>
    </w:p>
    <w:p w14:paraId="3DFC6DFB" w14:textId="77777777" w:rsidR="00CB1EB8" w:rsidRDefault="00CB1EB8" w:rsidP="0004540F">
      <w:pPr>
        <w:spacing w:after="0"/>
      </w:pPr>
    </w:p>
    <w:p w14:paraId="764ED8B6" w14:textId="5B9A560B" w:rsidR="0004540F" w:rsidRPr="0004540F" w:rsidRDefault="0004540F" w:rsidP="0004540F">
      <w:pPr>
        <w:spacing w:after="0"/>
        <w:rPr>
          <w:b/>
        </w:rPr>
      </w:pPr>
      <w:r w:rsidRPr="0004540F">
        <w:rPr>
          <w:b/>
        </w:rPr>
        <w:t>2. Presenter(s) Name(s) and Affiliation(s):</w:t>
      </w:r>
    </w:p>
    <w:p w14:paraId="49DCA43F" w14:textId="27654508" w:rsidR="0004540F" w:rsidRDefault="00CB1EB8" w:rsidP="0004540F">
      <w:pPr>
        <w:spacing w:after="0"/>
      </w:pPr>
      <w:r>
        <w:t xml:space="preserve">Dr Dan Ferris </w:t>
      </w:r>
      <w:proofErr w:type="spellStart"/>
      <w:r>
        <w:t>BSpSc</w:t>
      </w:r>
      <w:proofErr w:type="spellEnd"/>
      <w:r>
        <w:t xml:space="preserve"> (Hons) PhD AHPM</w:t>
      </w:r>
    </w:p>
    <w:p w14:paraId="3095CE8B" w14:textId="77777777" w:rsidR="0004540F" w:rsidRDefault="0004540F" w:rsidP="0004540F">
      <w:pPr>
        <w:spacing w:after="0"/>
      </w:pPr>
    </w:p>
    <w:p w14:paraId="1FBCB7FC" w14:textId="2017C978" w:rsidR="00D40498" w:rsidRPr="00746A26" w:rsidRDefault="0004540F" w:rsidP="0004540F">
      <w:pPr>
        <w:spacing w:after="0"/>
        <w:rPr>
          <w:b/>
        </w:rPr>
      </w:pPr>
      <w:r w:rsidRPr="0004540F">
        <w:rPr>
          <w:b/>
        </w:rPr>
        <w:t>3. Main Takeaways:</w:t>
      </w:r>
    </w:p>
    <w:p w14:paraId="644C6687" w14:textId="61A37A17" w:rsidR="0004540F" w:rsidRDefault="0004540F" w:rsidP="0004540F">
      <w:pPr>
        <w:spacing w:after="0"/>
      </w:pPr>
      <w:r w:rsidRPr="0004540F">
        <w:rPr>
          <w:b/>
          <w:i/>
        </w:rPr>
        <w:t>Takeaway 1</w:t>
      </w:r>
      <w:r w:rsidR="00D40498">
        <w:rPr>
          <w:b/>
          <w:i/>
        </w:rPr>
        <w:t xml:space="preserve">: </w:t>
      </w:r>
      <w:r w:rsidR="00CB1EB8" w:rsidRPr="00CB1EB8">
        <w:t>Explicitly teaching core academic skills in first-year EXSC units helps bridge the gap between student enthusiasm and academic readiness, improving confidence and performance.</w:t>
      </w:r>
    </w:p>
    <w:p w14:paraId="62063982" w14:textId="6F30F638" w:rsidR="0004540F" w:rsidRDefault="0004540F" w:rsidP="0004540F">
      <w:pPr>
        <w:spacing w:after="0"/>
      </w:pPr>
      <w:r w:rsidRPr="0004540F">
        <w:rPr>
          <w:b/>
          <w:i/>
        </w:rPr>
        <w:t>Takeaway 2</w:t>
      </w:r>
      <w:r w:rsidR="00D40498">
        <w:rPr>
          <w:b/>
          <w:i/>
        </w:rPr>
        <w:t xml:space="preserve">: </w:t>
      </w:r>
      <w:r w:rsidR="00CB1EB8" w:rsidRPr="00CB1EB8">
        <w:t>Scaffolded, skills-based activities aligned with assessments enhance student retention, engagement, and success without sacrificing the applied nature of the degree.</w:t>
      </w:r>
    </w:p>
    <w:p w14:paraId="23D922B8" w14:textId="77777777" w:rsidR="0004540F" w:rsidRDefault="0004540F" w:rsidP="0004540F">
      <w:pPr>
        <w:spacing w:after="0"/>
      </w:pPr>
    </w:p>
    <w:p w14:paraId="5E95E682" w14:textId="4B98CDFF" w:rsidR="00D40498" w:rsidRDefault="0004540F" w:rsidP="0004540F">
      <w:pPr>
        <w:spacing w:after="0"/>
        <w:rPr>
          <w:b/>
        </w:rPr>
      </w:pPr>
      <w:r w:rsidRPr="0004540F">
        <w:rPr>
          <w:b/>
        </w:rPr>
        <w:t>4. Application in Educational Contexts:</w:t>
      </w:r>
    </w:p>
    <w:p w14:paraId="47D91740" w14:textId="2E99FA9F" w:rsidR="0004540F" w:rsidRDefault="0004540F" w:rsidP="0004540F">
      <w:pPr>
        <w:spacing w:after="0"/>
      </w:pPr>
      <w:r w:rsidRPr="0004540F">
        <w:rPr>
          <w:b/>
          <w:i/>
        </w:rPr>
        <w:t xml:space="preserve">Teaching </w:t>
      </w:r>
      <w:proofErr w:type="gramStart"/>
      <w:r w:rsidRPr="0004540F">
        <w:rPr>
          <w:b/>
          <w:i/>
        </w:rPr>
        <w:t>Methods:</w:t>
      </w:r>
      <w:r>
        <w:t>[</w:t>
      </w:r>
      <w:proofErr w:type="gramEnd"/>
      <w:r w:rsidRPr="00CC4D92">
        <w:rPr>
          <w:i/>
        </w:rPr>
        <w:t>Specific ways the presentation's content can be incorporated into teaching practices – provide 2 sentences of 40 words or less – if not applicable indicate with NA</w:t>
      </w:r>
      <w:r>
        <w:t>.]</w:t>
      </w:r>
    </w:p>
    <w:p w14:paraId="10A8AA3A" w14:textId="334E30AD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Embedding weekly micro-skills tasks (e.g., literature analysis, academic writing drills) supports incremental learning and reduces cognitive overload.</w:t>
      </w:r>
    </w:p>
    <w:p w14:paraId="31972739" w14:textId="0F3C53E6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Using structured referencing and research workshops encourages active learning and boosts student confidence in academic processes.</w:t>
      </w:r>
    </w:p>
    <w:p w14:paraId="576489CC" w14:textId="77777777" w:rsidR="00D40498" w:rsidRDefault="00D40498" w:rsidP="0004540F">
      <w:pPr>
        <w:spacing w:after="0"/>
        <w:rPr>
          <w:b/>
        </w:rPr>
      </w:pPr>
    </w:p>
    <w:p w14:paraId="24A8BEF7" w14:textId="0EEDE485" w:rsidR="0004540F" w:rsidRDefault="0004540F" w:rsidP="0004540F">
      <w:pPr>
        <w:spacing w:after="0"/>
      </w:pPr>
      <w:r w:rsidRPr="0004540F">
        <w:rPr>
          <w:b/>
        </w:rPr>
        <w:t>Assessment:</w:t>
      </w:r>
      <w:r>
        <w:t xml:space="preserve"> [</w:t>
      </w:r>
      <w:r w:rsidRPr="00CC4D92">
        <w:rPr>
          <w:i/>
        </w:rPr>
        <w:t>Specific ways the presentation's content can be incorporated into assessment practices – provide 2 sentences of 40 words or less – if not applicable indicate with NA</w:t>
      </w:r>
      <w:r>
        <w:t>.]</w:t>
      </w:r>
    </w:p>
    <w:p w14:paraId="21964F4B" w14:textId="7D722610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Aligning scaffolded skills-based activities with graded assessments ensures academic development is directly relevant and measurable.</w:t>
      </w:r>
    </w:p>
    <w:p w14:paraId="1E6CC49E" w14:textId="3D7EAE35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Low-stakes formative assessments allow students to practise academic conventions before being formally assessed, reducing anxiety and improving outcomes.</w:t>
      </w:r>
    </w:p>
    <w:p w14:paraId="7C407842" w14:textId="77777777" w:rsidR="00D40498" w:rsidRDefault="00D40498" w:rsidP="0004540F">
      <w:pPr>
        <w:spacing w:after="0"/>
        <w:rPr>
          <w:b/>
        </w:rPr>
      </w:pPr>
    </w:p>
    <w:p w14:paraId="7854C4AC" w14:textId="3AB2E679" w:rsidR="0004540F" w:rsidRDefault="0004540F" w:rsidP="0004540F">
      <w:pPr>
        <w:spacing w:after="0"/>
      </w:pPr>
      <w:r w:rsidRPr="0004540F">
        <w:rPr>
          <w:b/>
        </w:rPr>
        <w:t>Student Engagement:</w:t>
      </w:r>
      <w:r>
        <w:t xml:space="preserve"> [</w:t>
      </w:r>
      <w:r w:rsidRPr="00CC4D92">
        <w:rPr>
          <w:i/>
        </w:rPr>
        <w:t>Specific ways the presentation's content can be incorporated into student engagement – provide 2 sentences of 40 words or less – if not applicable indicate with NA</w:t>
      </w:r>
      <w:r>
        <w:t>.]</w:t>
      </w:r>
    </w:p>
    <w:p w14:paraId="1E6C6DDF" w14:textId="0080068D" w:rsidR="00CB1EB8" w:rsidRPr="00CB1EB8" w:rsidRDefault="00CB1EB8" w:rsidP="00CB1EB8">
      <w:pPr>
        <w:spacing w:after="0"/>
      </w:pPr>
      <w:r>
        <w:t>-</w:t>
      </w:r>
      <w:r w:rsidRPr="00CB1EB8">
        <w:t xml:space="preserve"> Interactive and practical tasks (e.g., discussion-based literature reviews, peer referencing checks) promote active engagement and peer learning.</w:t>
      </w:r>
    </w:p>
    <w:p w14:paraId="40BFC14E" w14:textId="31A27FA5" w:rsidR="00CB1EB8" w:rsidRPr="00CB1EB8" w:rsidRDefault="00CB1EB8" w:rsidP="00CB1EB8">
      <w:pPr>
        <w:spacing w:after="0"/>
      </w:pPr>
      <w:r>
        <w:t>-</w:t>
      </w:r>
      <w:r w:rsidRPr="00CB1EB8">
        <w:t xml:space="preserve"> Students feel more confident and involved when academic skills are demystified through relevant, real-world examples from sport science.</w:t>
      </w:r>
    </w:p>
    <w:p w14:paraId="154DD61E" w14:textId="77777777" w:rsidR="00D40498" w:rsidRDefault="00D40498" w:rsidP="0004540F">
      <w:pPr>
        <w:spacing w:after="0"/>
        <w:rPr>
          <w:b/>
        </w:rPr>
      </w:pPr>
    </w:p>
    <w:p w14:paraId="491ED627" w14:textId="36DA8FE7" w:rsidR="0004540F" w:rsidRDefault="0004540F" w:rsidP="0004540F">
      <w:pPr>
        <w:spacing w:after="0"/>
      </w:pPr>
      <w:r w:rsidRPr="0004540F">
        <w:rPr>
          <w:b/>
        </w:rPr>
        <w:t xml:space="preserve">Curriculum </w:t>
      </w:r>
      <w:r w:rsidR="008C7E8B" w:rsidRPr="0004540F">
        <w:rPr>
          <w:b/>
        </w:rPr>
        <w:t>Development:</w:t>
      </w:r>
      <w:r w:rsidR="008C7E8B">
        <w:t xml:space="preserve"> [</w:t>
      </w:r>
      <w:r>
        <w:t>Specific ways the presentation's content can be incorporated into Curriculum Development – provide 2 sentences of 40 words or less – if not applicable indicate with NA.]</w:t>
      </w:r>
    </w:p>
    <w:p w14:paraId="011C5C62" w14:textId="7067C9F7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First-year EXSC curriculum was redesigned to embed academic literacy explicitly across modules, not just in isolated workshops.</w:t>
      </w:r>
    </w:p>
    <w:p w14:paraId="3810CA35" w14:textId="7A8D6FEC" w:rsidR="00CB1EB8" w:rsidRPr="00CB1EB8" w:rsidRDefault="00CB1EB8" w:rsidP="00CB1EB8">
      <w:pPr>
        <w:pStyle w:val="ListParagraph"/>
        <w:numPr>
          <w:ilvl w:val="0"/>
          <w:numId w:val="1"/>
        </w:numPr>
        <w:spacing w:after="0"/>
      </w:pPr>
      <w:r w:rsidRPr="00CB1EB8">
        <w:t>The integrated approach ensures academic skill development is continuous, contextual, and aligned with both subject content and assessment.</w:t>
      </w:r>
    </w:p>
    <w:p w14:paraId="38B75583" w14:textId="77777777" w:rsidR="0004540F" w:rsidRDefault="0004540F" w:rsidP="0004540F">
      <w:pPr>
        <w:spacing w:after="0"/>
      </w:pPr>
    </w:p>
    <w:p w14:paraId="6C584FEA" w14:textId="3B58636E" w:rsidR="0004540F" w:rsidRDefault="0004540F" w:rsidP="0004540F">
      <w:pPr>
        <w:spacing w:after="0"/>
        <w:rPr>
          <w:b/>
        </w:rPr>
      </w:pPr>
      <w:r w:rsidRPr="0004540F">
        <w:rPr>
          <w:b/>
        </w:rPr>
        <w:t>5. Valuable Sources and References:</w:t>
      </w:r>
    </w:p>
    <w:p w14:paraId="2D97F6F9" w14:textId="46842DD3" w:rsidR="00CB1EB8" w:rsidRDefault="0004540F" w:rsidP="00CB1EB8">
      <w:pPr>
        <w:spacing w:after="0"/>
      </w:pPr>
      <w:r w:rsidRPr="00CC4D92">
        <w:rPr>
          <w:b/>
        </w:rPr>
        <w:t>Source 1</w:t>
      </w:r>
      <w:r w:rsidR="00D40498">
        <w:rPr>
          <w:b/>
        </w:rPr>
        <w:t>:</w:t>
      </w:r>
      <w:r>
        <w:t xml:space="preserve"> </w:t>
      </w:r>
      <w:r w:rsidR="00CB1EB8">
        <w:t>Ruiz</w:t>
      </w:r>
      <w:r w:rsidR="00CB1EB8">
        <w:rPr>
          <w:rFonts w:ascii="Cambria Math" w:hAnsi="Cambria Math" w:cs="Cambria Math"/>
        </w:rPr>
        <w:t>‑</w:t>
      </w:r>
      <w:r w:rsidR="00CB1EB8">
        <w:t>Mart</w:t>
      </w:r>
      <w:r w:rsidR="00CB1EB8">
        <w:rPr>
          <w:rFonts w:ascii="Calibri" w:hAnsi="Calibri" w:cs="Calibri"/>
        </w:rPr>
        <w:t>í</w:t>
      </w:r>
      <w:r w:rsidR="00CB1EB8">
        <w:t>n</w:t>
      </w:r>
      <w:r w:rsidR="00CB1EB8">
        <w:rPr>
          <w:rFonts w:ascii="Calibri" w:hAnsi="Calibri" w:cs="Calibri"/>
        </w:rPr>
        <w:t> </w:t>
      </w:r>
      <w:r w:rsidR="00CB1EB8">
        <w:t>et</w:t>
      </w:r>
      <w:r w:rsidR="00CB1EB8">
        <w:rPr>
          <w:rFonts w:ascii="Calibri" w:hAnsi="Calibri" w:cs="Calibri"/>
        </w:rPr>
        <w:t> </w:t>
      </w:r>
      <w:r w:rsidR="00CB1EB8">
        <w:t xml:space="preserve">al. Cognitive Research: Principles and Implications (2024) 9:44 </w:t>
      </w:r>
    </w:p>
    <w:p w14:paraId="12FEAF3C" w14:textId="39EA71F8" w:rsidR="0004540F" w:rsidRDefault="00CB1EB8" w:rsidP="00CB1EB8">
      <w:pPr>
        <w:spacing w:after="0"/>
      </w:pPr>
      <w:r>
        <w:t>https://doi.org/10.1186/s41235</w:t>
      </w:r>
      <w:r>
        <w:rPr>
          <w:rFonts w:ascii="Cambria Math" w:hAnsi="Cambria Math" w:cs="Cambria Math"/>
        </w:rPr>
        <w:t>‑</w:t>
      </w:r>
      <w:r>
        <w:t>024</w:t>
      </w:r>
      <w:r>
        <w:rPr>
          <w:rFonts w:ascii="Cambria Math" w:hAnsi="Cambria Math" w:cs="Cambria Math"/>
        </w:rPr>
        <w:t>‑</w:t>
      </w:r>
      <w:r>
        <w:t>00567</w:t>
      </w:r>
      <w:r>
        <w:rPr>
          <w:rFonts w:ascii="Cambria Math" w:hAnsi="Cambria Math" w:cs="Cambria Math"/>
        </w:rPr>
        <w:t>‑</w:t>
      </w:r>
      <w:r>
        <w:t>5</w:t>
      </w:r>
    </w:p>
    <w:p w14:paraId="72B254DD" w14:textId="77777777" w:rsidR="00CB1EB8" w:rsidRDefault="00CB1EB8" w:rsidP="0004540F">
      <w:pPr>
        <w:spacing w:after="0"/>
        <w:rPr>
          <w:b/>
        </w:rPr>
      </w:pPr>
    </w:p>
    <w:p w14:paraId="51C1F1C5" w14:textId="0953E62F" w:rsidR="0004540F" w:rsidRDefault="0004540F" w:rsidP="0004540F">
      <w:pPr>
        <w:spacing w:after="0"/>
        <w:rPr>
          <w:b/>
        </w:rPr>
      </w:pPr>
      <w:r w:rsidRPr="0004540F">
        <w:rPr>
          <w:b/>
        </w:rPr>
        <w:lastRenderedPageBreak/>
        <w:t>6. Weakness and Area for Future Research:</w:t>
      </w:r>
    </w:p>
    <w:p w14:paraId="1864F9AC" w14:textId="0300A3A6" w:rsidR="0004540F" w:rsidRDefault="0004540F" w:rsidP="0004540F">
      <w:pPr>
        <w:spacing w:after="0"/>
      </w:pPr>
      <w:r w:rsidRPr="00CC4D92">
        <w:rPr>
          <w:b/>
        </w:rPr>
        <w:t>Weakness:</w:t>
      </w:r>
      <w:r w:rsidR="00CB1EB8">
        <w:rPr>
          <w:b/>
        </w:rPr>
        <w:t xml:space="preserve"> </w:t>
      </w:r>
      <w:r w:rsidR="00CB1EB8" w:rsidRPr="00CB1EB8">
        <w:t>This approach was implemented in a single discipline-specific context (EXSC), which may limit generalisability to other health or science courses.</w:t>
      </w:r>
    </w:p>
    <w:p w14:paraId="74CAEC8F" w14:textId="070F0D33" w:rsidR="0004540F" w:rsidRDefault="0004540F" w:rsidP="0004540F">
      <w:pPr>
        <w:spacing w:after="0"/>
      </w:pPr>
      <w:r w:rsidRPr="00CC4D92">
        <w:rPr>
          <w:b/>
        </w:rPr>
        <w:t xml:space="preserve">Future </w:t>
      </w:r>
      <w:r w:rsidR="00D40498" w:rsidRPr="00CC4D92">
        <w:rPr>
          <w:b/>
        </w:rPr>
        <w:t>Research:</w:t>
      </w:r>
      <w:r w:rsidR="00D40498">
        <w:t xml:space="preserve"> </w:t>
      </w:r>
      <w:r w:rsidR="00CB1EB8" w:rsidRPr="00CB1EB8">
        <w:t>Further studies should examine the transferability of this embedded academic skills model across disciplines and evaluate long-term academic outcomes beyond first year.</w:t>
      </w:r>
    </w:p>
    <w:p w14:paraId="27E2292E" w14:textId="77777777" w:rsidR="00797C68" w:rsidRDefault="00797C68" w:rsidP="0004540F">
      <w:pPr>
        <w:spacing w:after="0"/>
      </w:pPr>
    </w:p>
    <w:sectPr w:rsidR="00797C6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ED3A" w14:textId="77777777" w:rsidR="00904F80" w:rsidRDefault="00904F80" w:rsidP="00342DC1">
      <w:pPr>
        <w:spacing w:after="0" w:line="240" w:lineRule="auto"/>
      </w:pPr>
      <w:r>
        <w:separator/>
      </w:r>
    </w:p>
  </w:endnote>
  <w:endnote w:type="continuationSeparator" w:id="0">
    <w:p w14:paraId="0D971DBD" w14:textId="77777777" w:rsidR="00904F80" w:rsidRDefault="00904F80" w:rsidP="0034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032E7" w14:textId="0ED1AF10" w:rsidR="00342DC1" w:rsidRPr="00D40498" w:rsidRDefault="00D40498">
    <w:pPr>
      <w:pStyle w:val="Footer"/>
      <w:rPr>
        <w:sz w:val="18"/>
        <w:szCs w:val="18"/>
      </w:rPr>
    </w:pPr>
    <w:r w:rsidRPr="00D40498">
      <w:rPr>
        <w:sz w:val="18"/>
        <w:szCs w:val="18"/>
      </w:rPr>
      <w:t>Presentation Synopsis for L&amp;T Symposium 2024</w:t>
    </w:r>
    <w:r w:rsidR="008C7E8B">
      <w:rPr>
        <w:sz w:val="18"/>
        <w:szCs w:val="18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A1AA" w14:textId="77777777" w:rsidR="00904F80" w:rsidRDefault="00904F80" w:rsidP="00342DC1">
      <w:pPr>
        <w:spacing w:after="0" w:line="240" w:lineRule="auto"/>
      </w:pPr>
      <w:r>
        <w:separator/>
      </w:r>
    </w:p>
  </w:footnote>
  <w:footnote w:type="continuationSeparator" w:id="0">
    <w:p w14:paraId="3D7DE9A3" w14:textId="77777777" w:rsidR="00904F80" w:rsidRDefault="00904F80" w:rsidP="0034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D0844"/>
    <w:multiLevelType w:val="hybridMultilevel"/>
    <w:tmpl w:val="3DC05CC0"/>
    <w:lvl w:ilvl="0" w:tplc="316075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A"/>
    <w:rsid w:val="0004540F"/>
    <w:rsid w:val="001D16BA"/>
    <w:rsid w:val="00342DC1"/>
    <w:rsid w:val="006C75E0"/>
    <w:rsid w:val="00721074"/>
    <w:rsid w:val="00746A26"/>
    <w:rsid w:val="00793AD3"/>
    <w:rsid w:val="00797C68"/>
    <w:rsid w:val="008A4358"/>
    <w:rsid w:val="008C7E8B"/>
    <w:rsid w:val="00904F80"/>
    <w:rsid w:val="00934B84"/>
    <w:rsid w:val="00977051"/>
    <w:rsid w:val="00BB4FCA"/>
    <w:rsid w:val="00CA54E4"/>
    <w:rsid w:val="00CB1EB8"/>
    <w:rsid w:val="00CC4D92"/>
    <w:rsid w:val="00D40498"/>
    <w:rsid w:val="00D806D3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FE2C"/>
  <w15:chartTrackingRefBased/>
  <w15:docId w15:val="{44E6285D-000C-4626-98AC-83AC2C48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4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C1"/>
  </w:style>
  <w:style w:type="paragraph" w:styleId="Footer">
    <w:name w:val="footer"/>
    <w:basedOn w:val="Normal"/>
    <w:link w:val="FooterChar"/>
    <w:uiPriority w:val="99"/>
    <w:unhideWhenUsed/>
    <w:rsid w:val="0034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C1"/>
  </w:style>
  <w:style w:type="paragraph" w:styleId="ListParagraph">
    <w:name w:val="List Paragraph"/>
    <w:basedOn w:val="Normal"/>
    <w:uiPriority w:val="34"/>
    <w:qFormat/>
    <w:rsid w:val="00CB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Matthews</dc:creator>
  <cp:keywords/>
  <dc:description/>
  <cp:lastModifiedBy>Kashmira Dave</cp:lastModifiedBy>
  <cp:revision>3</cp:revision>
  <dcterms:created xsi:type="dcterms:W3CDTF">2025-07-14T00:35:00Z</dcterms:created>
  <dcterms:modified xsi:type="dcterms:W3CDTF">2025-07-14T00:48:00Z</dcterms:modified>
</cp:coreProperties>
</file>