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49A909F1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D57D40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6839BFF2" w14:textId="77777777" w:rsidR="00474007" w:rsidRPr="00474007" w:rsidRDefault="00474007" w:rsidP="00474007">
      <w:pPr>
        <w:spacing w:after="0"/>
        <w:rPr>
          <w:i/>
        </w:rPr>
      </w:pPr>
      <w:r w:rsidRPr="00474007">
        <w:rPr>
          <w:i/>
        </w:rPr>
        <w:t>Attrition prevention and the avoidance of unintentional harm </w:t>
      </w:r>
    </w:p>
    <w:p w14:paraId="1DE85D45" w14:textId="77777777" w:rsidR="0004540F" w:rsidRDefault="0004540F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5B1B7B95" w14:textId="18F3518A" w:rsidR="001E60AE" w:rsidRDefault="001E60AE" w:rsidP="001E60AE">
      <w:pPr>
        <w:spacing w:after="0"/>
      </w:pPr>
      <w:r w:rsidRPr="001E60AE">
        <w:t xml:space="preserve">Professor Jennifer Charteris, </w:t>
      </w:r>
      <w:r w:rsidR="00460C60">
        <w:t>Dr</w:t>
      </w:r>
      <w:r w:rsidR="00460C60" w:rsidRPr="001E60AE">
        <w:t xml:space="preserve"> Harriet Ridolfo</w:t>
      </w:r>
      <w:r w:rsidR="00460C60">
        <w:t>,</w:t>
      </w:r>
      <w:r w:rsidR="00460C60" w:rsidRPr="001E60AE">
        <w:t xml:space="preserve"> </w:t>
      </w:r>
      <w:r w:rsidRPr="001E60AE">
        <w:t xml:space="preserve">Dr Kristy O’Neill, Ms Sarah </w:t>
      </w:r>
      <w:proofErr w:type="spellStart"/>
      <w:r w:rsidRPr="001E60AE">
        <w:t>Oluk</w:t>
      </w:r>
      <w:proofErr w:type="spellEnd"/>
      <w:r w:rsidRPr="001E60AE">
        <w:t xml:space="preserve">, </w:t>
      </w:r>
      <w:r w:rsidR="00460C60" w:rsidRPr="001E60AE">
        <w:t xml:space="preserve">Mr Guido </w:t>
      </w:r>
      <w:proofErr w:type="spellStart"/>
      <w:r w:rsidR="00460C60" w:rsidRPr="001E60AE">
        <w:t>Posthausen</w:t>
      </w:r>
      <w:proofErr w:type="spellEnd"/>
      <w:r w:rsidR="00460C60" w:rsidRPr="001E60AE">
        <w:t xml:space="preserve">, </w:t>
      </w:r>
      <w:r w:rsidR="00460C60">
        <w:t>Dr</w:t>
      </w:r>
      <w:r w:rsidRPr="001E60AE">
        <w:t xml:space="preserve"> Vanessa Sewell, </w:t>
      </w:r>
    </w:p>
    <w:p w14:paraId="16732677" w14:textId="77777777" w:rsidR="00460C60" w:rsidRDefault="00460C60" w:rsidP="001E60AE">
      <w:pPr>
        <w:spacing w:after="0"/>
      </w:pPr>
    </w:p>
    <w:p w14:paraId="7A0039C5" w14:textId="7BD93BF3" w:rsidR="00460C60" w:rsidRPr="001E60AE" w:rsidRDefault="00460C60" w:rsidP="001E60AE">
      <w:pPr>
        <w:spacing w:after="0"/>
      </w:pPr>
      <w:r>
        <w:t>Acknowledgement:</w:t>
      </w:r>
      <w:r w:rsidR="003735A4">
        <w:t xml:space="preserve"> Professor Sue Gregory</w:t>
      </w:r>
      <w:r>
        <w:t xml:space="preserve"> Dr Jonathan Moss, </w:t>
      </w:r>
      <w:r w:rsidR="00B62D4D" w:rsidRPr="00B62D4D">
        <w:t xml:space="preserve">Dr Kashmira </w:t>
      </w:r>
      <w:proofErr w:type="spellStart"/>
      <w:r w:rsidR="00B62D4D" w:rsidRPr="00B62D4D">
        <w:t>Davé</w:t>
      </w:r>
      <w:proofErr w:type="spellEnd"/>
      <w:r w:rsidR="003735A4">
        <w:t xml:space="preserve">, Ms Julie Barker, </w:t>
      </w:r>
    </w:p>
    <w:p w14:paraId="3095CE8B" w14:textId="77777777" w:rsidR="0004540F" w:rsidRDefault="0004540F" w:rsidP="0004540F">
      <w:pPr>
        <w:spacing w:after="0"/>
      </w:pPr>
    </w:p>
    <w:p w14:paraId="1FBCB7FC" w14:textId="12FA662C" w:rsidR="00D40498" w:rsidRPr="00724369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644C6687" w14:textId="10224AAB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5C4E91">
        <w:t>Building capacity in inclusive, culturally responsive, trauma-informed, and caring pedagogies through effective induction is essential for addressing attrition and promoting student well-being, especially for low SES, Indigenous, and regional students.</w:t>
      </w:r>
    </w:p>
    <w:p w14:paraId="18D363FE" w14:textId="77777777" w:rsidR="005C4E91" w:rsidRDefault="005C4E91" w:rsidP="0004540F">
      <w:pPr>
        <w:spacing w:after="0"/>
      </w:pPr>
    </w:p>
    <w:p w14:paraId="62063982" w14:textId="1979111E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E9616A">
        <w:t>Practical tools, including an online induction package and Wellbeing Toolkit, support staff to embed universal design, cultural safety, trauma sensitivity, and care in tertiary teaching and learning environments.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5E95E682" w14:textId="77777777" w:rsidR="00D40498" w:rsidRDefault="00D40498" w:rsidP="0004540F">
      <w:pPr>
        <w:spacing w:after="0"/>
        <w:rPr>
          <w:b/>
        </w:rPr>
      </w:pPr>
    </w:p>
    <w:p w14:paraId="47D91740" w14:textId="3CAD88BC" w:rsidR="0004540F" w:rsidRDefault="0004540F" w:rsidP="0004540F">
      <w:pPr>
        <w:spacing w:after="0"/>
      </w:pPr>
      <w:r w:rsidRPr="0004540F">
        <w:rPr>
          <w:b/>
          <w:i/>
        </w:rPr>
        <w:t>Teaching Methods</w:t>
      </w:r>
      <w:r w:rsidRPr="00970879">
        <w:rPr>
          <w:b/>
          <w:i/>
          <w:color w:val="0070C0"/>
        </w:rPr>
        <w:t>:</w:t>
      </w:r>
    </w:p>
    <w:p w14:paraId="1AB1748E" w14:textId="77777777" w:rsidR="00C3495D" w:rsidRPr="00970879" w:rsidRDefault="00846942" w:rsidP="00C3495D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46942">
        <w:t>By integrating Indigenous voices and designing inclusive content, educators foster respectful and inclusive learning environments where all students feel valued.</w:t>
      </w:r>
      <w:r w:rsidR="00C3495D" w:rsidRPr="00C3495D">
        <w:t xml:space="preserve"> </w:t>
      </w:r>
      <w:r w:rsidR="00C3495D" w:rsidRPr="00970879">
        <w:t>You can a</w:t>
      </w:r>
      <w:r w:rsidR="00C3495D" w:rsidRPr="00C3495D">
        <w:t>dapt unit materials to authentically incorporate Indigenous voice</w:t>
      </w:r>
      <w:r w:rsidR="00C3495D" w:rsidRPr="00970879">
        <w:t xml:space="preserve"> and c</w:t>
      </w:r>
      <w:r w:rsidR="00C3495D" w:rsidRPr="00C3495D">
        <w:t xml:space="preserve">reate </w:t>
      </w:r>
      <w:r w:rsidR="00C3495D" w:rsidRPr="00970879">
        <w:t xml:space="preserve">a </w:t>
      </w:r>
      <w:r w:rsidR="00C3495D" w:rsidRPr="00C3495D">
        <w:t>learning environment that affirm</w:t>
      </w:r>
      <w:r w:rsidR="00C3495D" w:rsidRPr="00970879">
        <w:t>s</w:t>
      </w:r>
      <w:r w:rsidR="00C3495D" w:rsidRPr="00C3495D">
        <w:t xml:space="preserve"> diverse cultural identities and epistemologies.</w:t>
      </w:r>
    </w:p>
    <w:p w14:paraId="576489CC" w14:textId="5969AD53" w:rsidR="00D40498" w:rsidRPr="00724369" w:rsidRDefault="00B249B2" w:rsidP="00724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A pedagogy of care </w:t>
      </w:r>
      <w:r w:rsidR="00C3495D">
        <w:t>and trau</w:t>
      </w:r>
      <w:r w:rsidR="000B5616">
        <w:t>m</w:t>
      </w:r>
      <w:r w:rsidR="00C3495D">
        <w:t xml:space="preserve">a informed approach to </w:t>
      </w:r>
      <w:r w:rsidR="000B5616">
        <w:t xml:space="preserve">teaching </w:t>
      </w:r>
      <w:r>
        <w:t xml:space="preserve">is </w:t>
      </w:r>
      <w:r w:rsidR="000B5616">
        <w:t>embedded</w:t>
      </w:r>
      <w:r>
        <w:t xml:space="preserve"> through relational approaches, deep listening, and </w:t>
      </w:r>
      <w:r w:rsidR="000B5616">
        <w:t xml:space="preserve">the </w:t>
      </w:r>
      <w:r>
        <w:t>creati</w:t>
      </w:r>
      <w:r w:rsidR="000B5616">
        <w:t>on of</w:t>
      </w:r>
      <w:r>
        <w:t xml:space="preserve"> safe spaces for all students.</w:t>
      </w:r>
    </w:p>
    <w:p w14:paraId="24A8BEF7" w14:textId="6F102C15" w:rsidR="0004540F" w:rsidRDefault="0004540F" w:rsidP="0004540F">
      <w:pPr>
        <w:spacing w:after="0"/>
      </w:pPr>
      <w:r w:rsidRPr="0004540F">
        <w:rPr>
          <w:b/>
        </w:rPr>
        <w:t>Assessment:</w:t>
      </w:r>
    </w:p>
    <w:p w14:paraId="68914388" w14:textId="1BF59560" w:rsidR="00970879" w:rsidRDefault="00970879" w:rsidP="0097087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Resources assist staff in designing scaffolded, proportionate assessments that uphold academic integrity and cater for diverse student needs.</w:t>
      </w:r>
    </w:p>
    <w:p w14:paraId="1B9766F7" w14:textId="58F340E6" w:rsidR="00B62D4D" w:rsidRDefault="00F616BC" w:rsidP="0097087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induction program guides educators to develop inclusive assessment tasks that offer multiple ways for students to demonstrate their learning, ensuring accessibility and fairness for all learners.</w:t>
      </w:r>
    </w:p>
    <w:p w14:paraId="7854C4AC" w14:textId="3AB2E679" w:rsidR="0004540F" w:rsidRDefault="0004540F" w:rsidP="0004540F">
      <w:pPr>
        <w:spacing w:after="0"/>
      </w:pPr>
      <w:r w:rsidRPr="0004540F">
        <w:rPr>
          <w:b/>
        </w:rPr>
        <w:t>Student Engagement:</w:t>
      </w:r>
      <w:r>
        <w:t xml:space="preserve"> [</w:t>
      </w:r>
      <w:r w:rsidRPr="00CC4D92">
        <w:rPr>
          <w:i/>
        </w:rPr>
        <w:t>Specific ways the presentation's content can be incorporated into student engagement – provide 2 sentences of 40 words or less – if not applicable indicate with NA</w:t>
      </w:r>
      <w:r>
        <w:t>.]</w:t>
      </w:r>
    </w:p>
    <w:p w14:paraId="6709FF55" w14:textId="74C7EE8D" w:rsidR="0004540F" w:rsidRDefault="00CC6B64" w:rsidP="00CC6B6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Culturally responsive and trauma-informed practices enable meaningful engagement, particularly for students who may otherwise feel marginalised.</w:t>
      </w:r>
    </w:p>
    <w:p w14:paraId="154DD61E" w14:textId="35179F25" w:rsidR="00D40498" w:rsidRPr="00CC6B64" w:rsidRDefault="00CC6B64" w:rsidP="00754D73">
      <w:pPr>
        <w:numPr>
          <w:ilvl w:val="0"/>
          <w:numId w:val="2"/>
        </w:numPr>
        <w:spacing w:before="100" w:beforeAutospacing="1" w:after="0" w:afterAutospacing="1" w:line="240" w:lineRule="auto"/>
        <w:rPr>
          <w:b/>
        </w:rPr>
      </w:pPr>
      <w:r>
        <w:t>Embedding the Wellbeing Toolkit and shared success approaches encourages students to access relevant supports and fosters a sense of belonging.</w:t>
      </w:r>
    </w:p>
    <w:p w14:paraId="491ED627" w14:textId="36DA8FE7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[</w:t>
      </w:r>
      <w:r>
        <w:t>Specific ways the presentation's content can be incorporated into Curriculum Development – provide 2 sentences of 40 words or less – if not applicable indicate with NA.]</w:t>
      </w:r>
    </w:p>
    <w:p w14:paraId="09529CD9" w14:textId="6B97B2E2" w:rsidR="00DF4D2C" w:rsidRDefault="0004540F" w:rsidP="009B75D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 </w:t>
      </w:r>
      <w:r w:rsidR="00DF4D2C">
        <w:t>The induction program supports staff to integrate Indigenous perspectives, care, and trauma-awareness throughout curriculum design, not just as add-ons.</w:t>
      </w:r>
    </w:p>
    <w:p w14:paraId="38B75583" w14:textId="01B37F9D" w:rsidR="0004540F" w:rsidRDefault="00DF4D2C" w:rsidP="009B75D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Universal Design for Learning principles facilitate personalised, accessible learning experiences across diverse programs and disciplines.</w:t>
      </w: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1CF5CB4B" w14:textId="529B5D68" w:rsidR="003F6AA9" w:rsidRPr="00B83CA2" w:rsidRDefault="003F6AA9" w:rsidP="0004540F">
      <w:pPr>
        <w:spacing w:after="0"/>
        <w:rPr>
          <w:b/>
          <w:bCs/>
        </w:rPr>
      </w:pPr>
      <w:r w:rsidRPr="00CC4D92">
        <w:rPr>
          <w:b/>
        </w:rPr>
        <w:t>Source 1</w:t>
      </w:r>
      <w:r>
        <w:rPr>
          <w:b/>
        </w:rPr>
        <w:t>:</w:t>
      </w:r>
      <w:r w:rsidR="009E30B2">
        <w:rPr>
          <w:b/>
        </w:rPr>
        <w:t xml:space="preserve"> </w:t>
      </w:r>
      <w:r w:rsidR="009E30B2">
        <w:t xml:space="preserve">Bennett, B., &amp; Gates, T. G. (2024). Decolonization and trauma-informed truth-telling about Indigenous Australia in a social work diversity course: A cultural safety approach. </w:t>
      </w:r>
      <w:r w:rsidR="009E30B2">
        <w:rPr>
          <w:i/>
          <w:iCs/>
        </w:rPr>
        <w:t>Journal of Ethnic &amp; Cultural Diversity in Social Work</w:t>
      </w:r>
      <w:r w:rsidR="009E30B2">
        <w:t xml:space="preserve">, </w:t>
      </w:r>
      <w:r w:rsidR="009E30B2">
        <w:rPr>
          <w:i/>
          <w:iCs/>
        </w:rPr>
        <w:t>33</w:t>
      </w:r>
      <w:r w:rsidR="009E30B2">
        <w:t>(3), 153-166.</w:t>
      </w:r>
      <w:r>
        <w:t xml:space="preserve"> </w:t>
      </w:r>
      <w:hyperlink r:id="rId7" w:history="1">
        <w:r w:rsidR="00DD2DA6">
          <w:rPr>
            <w:rStyle w:val="Hyperlink"/>
          </w:rPr>
          <w:t>https://doi.org/10.1080/15313204.2022.2154882</w:t>
        </w:r>
      </w:hyperlink>
      <w:r>
        <w:br/>
      </w:r>
      <w:r w:rsidRPr="00CC4D92">
        <w:rPr>
          <w:b/>
        </w:rPr>
        <w:t xml:space="preserve">Source </w:t>
      </w:r>
      <w:r>
        <w:rPr>
          <w:b/>
        </w:rPr>
        <w:t>2:</w:t>
      </w:r>
      <w:r>
        <w:t xml:space="preserve"> CAST – Universal Design for Learning Guidelines (Practical guidance for implementing UDL in tertiary teaching.)</w:t>
      </w:r>
      <w:r w:rsidR="00B83CA2">
        <w:t xml:space="preserve"> </w:t>
      </w:r>
      <w:r w:rsidR="00B83CA2" w:rsidRPr="00B83CA2">
        <w:t>https://udlguidelines.cast.org/</w:t>
      </w: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1864F9AC" w14:textId="5319B8DE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</w:t>
      </w:r>
      <w:r w:rsidR="00122D83">
        <w:t xml:space="preserve">The </w:t>
      </w:r>
      <w:r w:rsidR="00F85D9C">
        <w:t xml:space="preserve">induction </w:t>
      </w:r>
      <w:r w:rsidR="00122D83">
        <w:t>program’s effectiveness relies on staff uptake and engagement, which may be limited by workload pressures and competing priorities.</w:t>
      </w:r>
    </w:p>
    <w:p w14:paraId="74CAEC8F" w14:textId="4DB01FE7" w:rsidR="0004540F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9B75D1">
        <w:t>Future research could examine student outcomes and staff experiences longitudinally, exploring how sustained use of inclusive pedagogy impacts retention, belonging, and well-being across different cohorts.</w:t>
      </w:r>
    </w:p>
    <w:p w14:paraId="27E2292E" w14:textId="77777777" w:rsidR="00797C68" w:rsidRDefault="00797C68" w:rsidP="0004540F">
      <w:pPr>
        <w:spacing w:after="0"/>
      </w:pPr>
    </w:p>
    <w:sectPr w:rsidR="00797C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5D91" w14:textId="77777777" w:rsidR="000F7EEF" w:rsidRDefault="000F7EEF" w:rsidP="00342DC1">
      <w:pPr>
        <w:spacing w:after="0" w:line="240" w:lineRule="auto"/>
      </w:pPr>
      <w:r>
        <w:separator/>
      </w:r>
    </w:p>
  </w:endnote>
  <w:endnote w:type="continuationSeparator" w:id="0">
    <w:p w14:paraId="1582FD11" w14:textId="77777777" w:rsidR="000F7EEF" w:rsidRDefault="000F7EEF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35175859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</w:t>
    </w:r>
    <w:r w:rsidR="00724369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9FB6" w14:textId="77777777" w:rsidR="000F7EEF" w:rsidRDefault="000F7EEF" w:rsidP="00342DC1">
      <w:pPr>
        <w:spacing w:after="0" w:line="240" w:lineRule="auto"/>
      </w:pPr>
      <w:r>
        <w:separator/>
      </w:r>
    </w:p>
  </w:footnote>
  <w:footnote w:type="continuationSeparator" w:id="0">
    <w:p w14:paraId="1EEF391C" w14:textId="77777777" w:rsidR="000F7EEF" w:rsidRDefault="000F7EEF" w:rsidP="0034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6CBA"/>
    <w:multiLevelType w:val="multilevel"/>
    <w:tmpl w:val="BD94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C4BAA"/>
    <w:multiLevelType w:val="multilevel"/>
    <w:tmpl w:val="FD3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23F21"/>
    <w:multiLevelType w:val="multilevel"/>
    <w:tmpl w:val="14FE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752261">
    <w:abstractNumId w:val="1"/>
  </w:num>
  <w:num w:numId="2" w16cid:durableId="822817567">
    <w:abstractNumId w:val="0"/>
  </w:num>
  <w:num w:numId="3" w16cid:durableId="167440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0B5616"/>
    <w:rsid w:val="000E2FF3"/>
    <w:rsid w:val="000F7EEF"/>
    <w:rsid w:val="00122D83"/>
    <w:rsid w:val="001D16BA"/>
    <w:rsid w:val="001E60AE"/>
    <w:rsid w:val="00342DC1"/>
    <w:rsid w:val="003735A4"/>
    <w:rsid w:val="003F6AA9"/>
    <w:rsid w:val="00421347"/>
    <w:rsid w:val="004238CB"/>
    <w:rsid w:val="00460C60"/>
    <w:rsid w:val="00474007"/>
    <w:rsid w:val="004A634E"/>
    <w:rsid w:val="005C4E91"/>
    <w:rsid w:val="00721074"/>
    <w:rsid w:val="00724369"/>
    <w:rsid w:val="00793AD3"/>
    <w:rsid w:val="00797C68"/>
    <w:rsid w:val="00846942"/>
    <w:rsid w:val="008A4358"/>
    <w:rsid w:val="008C7E8B"/>
    <w:rsid w:val="009247FC"/>
    <w:rsid w:val="00934B84"/>
    <w:rsid w:val="00970879"/>
    <w:rsid w:val="00977051"/>
    <w:rsid w:val="009B75D1"/>
    <w:rsid w:val="009E30B2"/>
    <w:rsid w:val="00A5207B"/>
    <w:rsid w:val="00B249B2"/>
    <w:rsid w:val="00B62D4D"/>
    <w:rsid w:val="00B83CA2"/>
    <w:rsid w:val="00B94C2F"/>
    <w:rsid w:val="00BB4FCA"/>
    <w:rsid w:val="00C3495D"/>
    <w:rsid w:val="00CA54E4"/>
    <w:rsid w:val="00CC4D92"/>
    <w:rsid w:val="00CC6B64"/>
    <w:rsid w:val="00D40498"/>
    <w:rsid w:val="00D57D40"/>
    <w:rsid w:val="00D806D3"/>
    <w:rsid w:val="00DD2DA6"/>
    <w:rsid w:val="00DF4D2C"/>
    <w:rsid w:val="00E9616A"/>
    <w:rsid w:val="00F61284"/>
    <w:rsid w:val="00F616BC"/>
    <w:rsid w:val="00F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469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character" w:customStyle="1" w:styleId="Heading5Char">
    <w:name w:val="Heading 5 Char"/>
    <w:basedOn w:val="DefaultParagraphFont"/>
    <w:link w:val="Heading5"/>
    <w:uiPriority w:val="9"/>
    <w:rsid w:val="008469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7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2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5313204.2022.2154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28</cp:revision>
  <dcterms:created xsi:type="dcterms:W3CDTF">2025-06-23T04:35:00Z</dcterms:created>
  <dcterms:modified xsi:type="dcterms:W3CDTF">2025-07-11T07:24:00Z</dcterms:modified>
</cp:coreProperties>
</file>