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2869EF1B"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2024</w:t>
      </w:r>
      <w:r w:rsidR="00D40498">
        <w:rPr>
          <w:b/>
          <w:sz w:val="24"/>
        </w:rPr>
        <w:t xml:space="preserve"> – Presentation Synopsis</w:t>
      </w:r>
    </w:p>
    <w:p w14:paraId="35BF93CD" w14:textId="2477E74F" w:rsidR="00727BD5" w:rsidRDefault="0004540F" w:rsidP="0004540F">
      <w:pPr>
        <w:spacing w:after="0"/>
      </w:pPr>
      <w:r w:rsidRPr="0004540F">
        <w:rPr>
          <w:b/>
        </w:rPr>
        <w:t>1. Title of Presentation:</w:t>
      </w:r>
      <w:r w:rsidR="0071467D">
        <w:rPr>
          <w:b/>
        </w:rPr>
        <w:t xml:space="preserve"> </w:t>
      </w:r>
      <w:r w:rsidR="005402E6" w:rsidRPr="005402E6">
        <w:t>Enhancing Student Engagement and Performance through Real-Time Feedback and Virtual Accounting Processes</w:t>
      </w:r>
    </w:p>
    <w:p w14:paraId="6B6BC72B" w14:textId="77777777" w:rsidR="00625EB2" w:rsidRDefault="00625EB2"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3095CE8B" w14:textId="7B932B0C" w:rsidR="0004540F" w:rsidRDefault="00727BD5" w:rsidP="0004540F">
      <w:pPr>
        <w:spacing w:after="0"/>
      </w:pPr>
      <w:r>
        <w:t>Priyantha Mudalige</w:t>
      </w:r>
      <w:r w:rsidR="00625EB2">
        <w:t xml:space="preserve">- </w:t>
      </w:r>
      <w:r>
        <w:t>Accounting and Finance</w:t>
      </w:r>
      <w:r w:rsidR="005402E6">
        <w:t xml:space="preserve"> Discipline</w:t>
      </w:r>
      <w:r w:rsidR="00625EB2">
        <w:t xml:space="preserve">, </w:t>
      </w:r>
      <w:r>
        <w:t>UNE Business School</w:t>
      </w:r>
    </w:p>
    <w:p w14:paraId="0864FBB6" w14:textId="77777777" w:rsidR="00727BD5" w:rsidRDefault="00727BD5" w:rsidP="0004540F">
      <w:pPr>
        <w:spacing w:after="0"/>
      </w:pPr>
    </w:p>
    <w:p w14:paraId="7E21732C" w14:textId="1A784F4A" w:rsidR="0004540F" w:rsidRDefault="0004540F" w:rsidP="0004540F">
      <w:pPr>
        <w:spacing w:after="0"/>
        <w:rPr>
          <w:b/>
        </w:rPr>
      </w:pPr>
      <w:r w:rsidRPr="0004540F">
        <w:rPr>
          <w:b/>
        </w:rPr>
        <w:t>3. Main Takeaways:</w:t>
      </w:r>
    </w:p>
    <w:p w14:paraId="644C6687" w14:textId="69EA8A2D" w:rsidR="0004540F" w:rsidRPr="001C3BC1" w:rsidRDefault="00D40498" w:rsidP="0004540F">
      <w:pPr>
        <w:spacing w:after="0"/>
        <w:rPr>
          <w:bCs/>
        </w:rPr>
      </w:pPr>
      <w:r w:rsidRPr="00D40498">
        <w:rPr>
          <w:bCs/>
          <w:color w:val="767171" w:themeColor="background2" w:themeShade="80"/>
          <w:lang w:val="en-GB"/>
        </w:rPr>
        <w:t xml:space="preserve"> </w:t>
      </w:r>
      <w:r w:rsidR="0004540F" w:rsidRPr="0004540F">
        <w:rPr>
          <w:b/>
          <w:i/>
        </w:rPr>
        <w:t>Takeaway 1</w:t>
      </w:r>
      <w:r>
        <w:rPr>
          <w:b/>
          <w:i/>
        </w:rPr>
        <w:t xml:space="preserve">: </w:t>
      </w:r>
      <w:r w:rsidR="00217DD6" w:rsidRPr="00217DD6">
        <w:rPr>
          <w:bCs/>
          <w:i/>
        </w:rPr>
        <w:t>Introducing interactive quizzes that enable students to apply theoretical concepts in practical contexts, strengthening their understanding through active reinforcement.</w:t>
      </w:r>
    </w:p>
    <w:p w14:paraId="62063982" w14:textId="23FF76F5" w:rsidR="0004540F" w:rsidRPr="00D003DB" w:rsidRDefault="0004540F" w:rsidP="0004540F">
      <w:pPr>
        <w:spacing w:after="0"/>
        <w:rPr>
          <w:bCs/>
        </w:rPr>
      </w:pPr>
      <w:r w:rsidRPr="0004540F">
        <w:rPr>
          <w:b/>
          <w:i/>
        </w:rPr>
        <w:t>Takeaway 2</w:t>
      </w:r>
      <w:r w:rsidR="00D40498" w:rsidRPr="00D003DB">
        <w:rPr>
          <w:bCs/>
          <w:i/>
        </w:rPr>
        <w:t xml:space="preserve">: </w:t>
      </w:r>
      <w:r w:rsidR="00217DD6" w:rsidRPr="00217DD6">
        <w:rPr>
          <w:bCs/>
          <w:i/>
        </w:rPr>
        <w:t>Enhance student engagement through instant feedback while supporting improved academic performance.</w:t>
      </w:r>
    </w:p>
    <w:p w14:paraId="23D922B8" w14:textId="77777777" w:rsidR="0004540F" w:rsidRDefault="0004540F" w:rsidP="0004540F">
      <w:pPr>
        <w:spacing w:after="0"/>
      </w:pPr>
    </w:p>
    <w:p w14:paraId="5C15B54C" w14:textId="72868189" w:rsidR="0004540F" w:rsidRDefault="0004540F" w:rsidP="0004540F">
      <w:pPr>
        <w:spacing w:after="0"/>
        <w:rPr>
          <w:b/>
        </w:rPr>
      </w:pPr>
      <w:r w:rsidRPr="0004540F">
        <w:rPr>
          <w:b/>
        </w:rPr>
        <w:t>4. Application in Educational Contexts:</w:t>
      </w:r>
    </w:p>
    <w:p w14:paraId="422BC827" w14:textId="0BA8CDDB" w:rsidR="00217DD6" w:rsidRDefault="00777733" w:rsidP="0004540F">
      <w:pPr>
        <w:spacing w:after="0"/>
        <w:rPr>
          <w:bCs/>
        </w:rPr>
      </w:pPr>
      <w:r w:rsidRPr="00777733">
        <w:rPr>
          <w:bCs/>
        </w:rPr>
        <w:t>International accounting standards boards, such as the IAESB, along with professional accreditation bodies like CPA Australia and CA ANZ, acknowledge that university-acquired knowledge forms the foundation of accounting graduates’ professional competency. To promote continuous quality improvement, educators must equip graduates with both essential knowledge and practical skills for their future roles. This project seeks to integrate practical accounting procedures into the MyLearn platform, enabling students to connect lecture content with real-world applications. Hands-on practice enhances long-term learning by being more memorable than reading linear text alone and motivates greater student engagement with the units.</w:t>
      </w:r>
    </w:p>
    <w:p w14:paraId="76D87533" w14:textId="77777777" w:rsidR="00777733" w:rsidRDefault="00777733" w:rsidP="0004540F">
      <w:pPr>
        <w:spacing w:after="0"/>
        <w:rPr>
          <w:b/>
        </w:rPr>
      </w:pPr>
    </w:p>
    <w:p w14:paraId="345EB4C8" w14:textId="77777777" w:rsidR="00FF10A3" w:rsidRDefault="0004540F" w:rsidP="0004540F">
      <w:pPr>
        <w:spacing w:after="0"/>
        <w:rPr>
          <w:b/>
          <w:i/>
        </w:rPr>
      </w:pPr>
      <w:r w:rsidRPr="0004540F">
        <w:rPr>
          <w:b/>
          <w:i/>
        </w:rPr>
        <w:t>Teaching Methods:</w:t>
      </w:r>
    </w:p>
    <w:p w14:paraId="576489CC" w14:textId="2ECF4249" w:rsidR="00D40498" w:rsidRDefault="00BE0885" w:rsidP="0004540F">
      <w:pPr>
        <w:spacing w:after="0"/>
      </w:pPr>
      <w:r w:rsidRPr="00BE0885">
        <w:t>The integration of interactive topic quizzes promotes innovative pedagogical approaches in multimodal settings, enriching both student learning and their educational experience.</w:t>
      </w:r>
      <w:r w:rsidR="0004540F">
        <w:t xml:space="preserve"> </w:t>
      </w:r>
    </w:p>
    <w:p w14:paraId="7CC573E0" w14:textId="77777777" w:rsidR="00BE0885" w:rsidRDefault="00BE0885" w:rsidP="0004540F">
      <w:pPr>
        <w:spacing w:after="0"/>
        <w:rPr>
          <w:b/>
        </w:rPr>
      </w:pPr>
    </w:p>
    <w:p w14:paraId="6F257E2C" w14:textId="77777777" w:rsidR="00FF10A3" w:rsidRDefault="0004540F" w:rsidP="0004540F">
      <w:pPr>
        <w:spacing w:after="0"/>
      </w:pPr>
      <w:r w:rsidRPr="0004540F">
        <w:rPr>
          <w:b/>
        </w:rPr>
        <w:t>Assessment:</w:t>
      </w:r>
      <w:r>
        <w:t xml:space="preserve"> </w:t>
      </w:r>
    </w:p>
    <w:p w14:paraId="7C407842" w14:textId="7D662EC5" w:rsidR="00D40498" w:rsidRDefault="00BE0885" w:rsidP="0004540F">
      <w:pPr>
        <w:spacing w:after="0"/>
        <w:rPr>
          <w:iCs/>
        </w:rPr>
      </w:pPr>
      <w:r w:rsidRPr="00BE0885">
        <w:rPr>
          <w:iCs/>
        </w:rPr>
        <w:t>Intended purely for practice, the non-assessable quizzes aim to strengthen students’ understanding of classroom material and enhance their readiness for the exam.</w:t>
      </w:r>
    </w:p>
    <w:p w14:paraId="025F5150" w14:textId="77777777" w:rsidR="00BE0885" w:rsidRDefault="00BE0885" w:rsidP="0004540F">
      <w:pPr>
        <w:spacing w:after="0"/>
        <w:rPr>
          <w:b/>
        </w:rPr>
      </w:pPr>
    </w:p>
    <w:p w14:paraId="76BF81A8" w14:textId="77777777" w:rsidR="00FF10A3" w:rsidRDefault="0004540F" w:rsidP="0004540F">
      <w:pPr>
        <w:spacing w:after="0"/>
      </w:pPr>
      <w:r w:rsidRPr="0004540F">
        <w:rPr>
          <w:b/>
        </w:rPr>
        <w:t>Student Engagement:</w:t>
      </w:r>
      <w:r>
        <w:t xml:space="preserve"> </w:t>
      </w:r>
    </w:p>
    <w:p w14:paraId="154DD61E" w14:textId="12043348" w:rsidR="00D40498" w:rsidRDefault="00BE0885" w:rsidP="0004540F">
      <w:pPr>
        <w:spacing w:after="0"/>
      </w:pPr>
      <w:r w:rsidRPr="00BE0885">
        <w:t>Ten quizzes were created using CLOZ-HTML technology and made available as activities under each topic on the MyLearn site. Students are encouraged to practice the quizzes repeatedly and to deepen their understanding of the content and topics through both direct and indirect interactions with the Unit Coordinator and their peers.</w:t>
      </w:r>
    </w:p>
    <w:p w14:paraId="5F52A17A" w14:textId="77777777" w:rsidR="00BE0885" w:rsidRDefault="00BE0885" w:rsidP="0004540F">
      <w:pPr>
        <w:spacing w:after="0"/>
        <w:rPr>
          <w:b/>
        </w:rPr>
      </w:pPr>
    </w:p>
    <w:p w14:paraId="5C32F827" w14:textId="77777777" w:rsidR="00FF10A3" w:rsidRDefault="0004540F" w:rsidP="0004540F">
      <w:pPr>
        <w:spacing w:after="0"/>
        <w:rPr>
          <w:b/>
        </w:rPr>
      </w:pPr>
      <w:r w:rsidRPr="0004540F">
        <w:rPr>
          <w:b/>
        </w:rPr>
        <w:t xml:space="preserve">Curriculum </w:t>
      </w:r>
      <w:r w:rsidR="008C7E8B" w:rsidRPr="0004540F">
        <w:rPr>
          <w:b/>
        </w:rPr>
        <w:t>Development</w:t>
      </w:r>
    </w:p>
    <w:p w14:paraId="38B75583" w14:textId="101952D3" w:rsidR="0004540F" w:rsidRDefault="00BE0885" w:rsidP="0004540F">
      <w:pPr>
        <w:spacing w:after="0"/>
      </w:pPr>
      <w:r w:rsidRPr="00BE0885">
        <w:t>Topic quizzes are integrated into the curriculum development to support the delivery of key content as a self-directed learning activity, complementing lectures, tutorials, and workshops.</w:t>
      </w:r>
    </w:p>
    <w:p w14:paraId="1194F1BC" w14:textId="77777777" w:rsidR="00BE0885" w:rsidRDefault="00BE0885" w:rsidP="0004540F">
      <w:pPr>
        <w:spacing w:after="0"/>
      </w:pPr>
    </w:p>
    <w:p w14:paraId="6C584FEA" w14:textId="3B58636E" w:rsidR="0004540F" w:rsidRDefault="0004540F" w:rsidP="0004540F">
      <w:pPr>
        <w:spacing w:after="0"/>
        <w:rPr>
          <w:b/>
        </w:rPr>
      </w:pPr>
      <w:r w:rsidRPr="0004540F">
        <w:rPr>
          <w:b/>
        </w:rPr>
        <w:t>5. Valuable Sources and References:</w:t>
      </w:r>
    </w:p>
    <w:p w14:paraId="51C1F1C5" w14:textId="4BCB8331" w:rsidR="0004540F" w:rsidRDefault="0004540F" w:rsidP="0004540F">
      <w:pPr>
        <w:spacing w:after="0"/>
        <w:rPr>
          <w:b/>
        </w:rPr>
      </w:pPr>
      <w:r w:rsidRPr="0004540F">
        <w:rPr>
          <w:b/>
        </w:rPr>
        <w:t>6. Weakness and Area for Future Research:</w:t>
      </w:r>
    </w:p>
    <w:p w14:paraId="30B3C223" w14:textId="51CD4151" w:rsidR="003C62E4" w:rsidRDefault="0004540F" w:rsidP="0004540F">
      <w:pPr>
        <w:spacing w:after="0"/>
      </w:pPr>
      <w:r w:rsidRPr="00CC4D92">
        <w:rPr>
          <w:b/>
        </w:rPr>
        <w:t>Weakness:</w:t>
      </w:r>
      <w:r>
        <w:t xml:space="preserve"> </w:t>
      </w:r>
      <w:r w:rsidR="003C62E4" w:rsidRPr="003C62E4">
        <w:t xml:space="preserve">The topic quizzes are self-contained and focused on specific content, which limits students' opportunities to practise a </w:t>
      </w:r>
      <w:r w:rsidR="003C62E4">
        <w:t>broader</w:t>
      </w:r>
      <w:r w:rsidR="003C62E4" w:rsidRPr="003C62E4">
        <w:t xml:space="preserve"> range of subject matter.</w:t>
      </w:r>
    </w:p>
    <w:p w14:paraId="27E2292E" w14:textId="2AFA5AB4" w:rsidR="00797C68" w:rsidRDefault="0004540F" w:rsidP="0004540F">
      <w:pPr>
        <w:spacing w:after="0"/>
      </w:pPr>
      <w:r w:rsidRPr="00CC4D92">
        <w:rPr>
          <w:b/>
        </w:rPr>
        <w:t xml:space="preserve">Future </w:t>
      </w:r>
      <w:r w:rsidR="00D40498" w:rsidRPr="00CC4D92">
        <w:rPr>
          <w:b/>
        </w:rPr>
        <w:t>Research:</w:t>
      </w:r>
      <w:r w:rsidR="00D40498">
        <w:t xml:space="preserve"> </w:t>
      </w:r>
      <w:r w:rsidR="005154DC" w:rsidRPr="005154DC">
        <w:t xml:space="preserve">There is a need for future research to assess how AI-driven strategies can be leveraged to address a </w:t>
      </w:r>
      <w:r w:rsidR="005154DC">
        <w:t>broader</w:t>
      </w:r>
      <w:r w:rsidR="005154DC" w:rsidRPr="005154DC">
        <w:t xml:space="preserve"> scope of content areas.</w:t>
      </w:r>
    </w:p>
    <w:sectPr w:rsidR="00797C6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4665" w14:textId="77777777" w:rsidR="0095685D" w:rsidRDefault="0095685D" w:rsidP="00342DC1">
      <w:pPr>
        <w:spacing w:after="0" w:line="240" w:lineRule="auto"/>
      </w:pPr>
      <w:r>
        <w:separator/>
      </w:r>
    </w:p>
  </w:endnote>
  <w:endnote w:type="continuationSeparator" w:id="0">
    <w:p w14:paraId="7A58454D" w14:textId="77777777" w:rsidR="0095685D" w:rsidRDefault="0095685D"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5B8BF3C7" w:rsidR="00342DC1" w:rsidRPr="00D40498" w:rsidRDefault="00D40498">
    <w:pPr>
      <w:pStyle w:val="Footer"/>
      <w:rPr>
        <w:sz w:val="18"/>
        <w:szCs w:val="18"/>
      </w:rPr>
    </w:pPr>
    <w:r w:rsidRPr="00D40498">
      <w:rPr>
        <w:sz w:val="18"/>
        <w:szCs w:val="18"/>
      </w:rPr>
      <w:t>Presentation Synopsis for L&amp;T Symposium 202</w:t>
    </w:r>
    <w:r w:rsidR="00652035">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D395" w14:textId="77777777" w:rsidR="0095685D" w:rsidRDefault="0095685D" w:rsidP="00342DC1">
      <w:pPr>
        <w:spacing w:after="0" w:line="240" w:lineRule="auto"/>
      </w:pPr>
      <w:r>
        <w:separator/>
      </w:r>
    </w:p>
  </w:footnote>
  <w:footnote w:type="continuationSeparator" w:id="0">
    <w:p w14:paraId="5D746756" w14:textId="77777777" w:rsidR="0095685D" w:rsidRDefault="0095685D"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04689C"/>
    <w:rsid w:val="00167D45"/>
    <w:rsid w:val="001C3BC1"/>
    <w:rsid w:val="001D16BA"/>
    <w:rsid w:val="00217DD6"/>
    <w:rsid w:val="0022636B"/>
    <w:rsid w:val="00342DC1"/>
    <w:rsid w:val="00366F65"/>
    <w:rsid w:val="003C62E4"/>
    <w:rsid w:val="00451665"/>
    <w:rsid w:val="005154DC"/>
    <w:rsid w:val="005402E6"/>
    <w:rsid w:val="00625EB2"/>
    <w:rsid w:val="00652035"/>
    <w:rsid w:val="006876EC"/>
    <w:rsid w:val="0069344A"/>
    <w:rsid w:val="006A35E4"/>
    <w:rsid w:val="0071467D"/>
    <w:rsid w:val="00721074"/>
    <w:rsid w:val="00727BD5"/>
    <w:rsid w:val="00777733"/>
    <w:rsid w:val="00793AD3"/>
    <w:rsid w:val="00797C68"/>
    <w:rsid w:val="007D05AF"/>
    <w:rsid w:val="00836372"/>
    <w:rsid w:val="008A4358"/>
    <w:rsid w:val="008C7E8B"/>
    <w:rsid w:val="00924741"/>
    <w:rsid w:val="00934B84"/>
    <w:rsid w:val="0095685D"/>
    <w:rsid w:val="00977051"/>
    <w:rsid w:val="00987C82"/>
    <w:rsid w:val="009A4302"/>
    <w:rsid w:val="00B3427E"/>
    <w:rsid w:val="00BB4FCA"/>
    <w:rsid w:val="00BE0885"/>
    <w:rsid w:val="00C42D3B"/>
    <w:rsid w:val="00C72A8C"/>
    <w:rsid w:val="00C80358"/>
    <w:rsid w:val="00C9150E"/>
    <w:rsid w:val="00CA54E4"/>
    <w:rsid w:val="00CC4D92"/>
    <w:rsid w:val="00D003DB"/>
    <w:rsid w:val="00D04B55"/>
    <w:rsid w:val="00D40498"/>
    <w:rsid w:val="00D806D3"/>
    <w:rsid w:val="00DE0AA4"/>
    <w:rsid w:val="00E207E6"/>
    <w:rsid w:val="00E84FEF"/>
    <w:rsid w:val="00E92B98"/>
    <w:rsid w:val="00F46B97"/>
    <w:rsid w:val="00F61284"/>
    <w:rsid w:val="00FF1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451665"/>
    <w:rPr>
      <w:color w:val="0563C1" w:themeColor="hyperlink"/>
      <w:u w:val="single"/>
    </w:rPr>
  </w:style>
  <w:style w:type="character" w:styleId="UnresolvedMention">
    <w:name w:val="Unresolved Mention"/>
    <w:basedOn w:val="DefaultParagraphFont"/>
    <w:uiPriority w:val="99"/>
    <w:semiHidden/>
    <w:unhideWhenUsed/>
    <w:rsid w:val="00451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12</cp:revision>
  <dcterms:created xsi:type="dcterms:W3CDTF">2025-06-29T01:54:00Z</dcterms:created>
  <dcterms:modified xsi:type="dcterms:W3CDTF">2025-07-14T00:50:00Z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7f298a90-ed73-46ec-ad1a-23d9508e8cd1</vt:lpwstr>
  </property>
</Properties>
</file>