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5008" w14:textId="6DAC55B4" w:rsidR="0004540F" w:rsidRDefault="00CC4D92" w:rsidP="00CC4D92">
      <w:pPr>
        <w:tabs>
          <w:tab w:val="left" w:pos="3686"/>
        </w:tabs>
        <w:spacing w:after="0"/>
        <w:rPr>
          <w:b/>
          <w:sz w:val="24"/>
        </w:rPr>
      </w:pPr>
      <w:r w:rsidRPr="00CC4D92">
        <w:rPr>
          <w:b/>
          <w:sz w:val="24"/>
        </w:rPr>
        <w:t>UNE</w:t>
      </w:r>
      <w:r w:rsidR="00D806D3">
        <w:rPr>
          <w:b/>
          <w:sz w:val="24"/>
        </w:rPr>
        <w:t xml:space="preserve"> L&amp;T</w:t>
      </w:r>
      <w:r w:rsidRPr="00CC4D92">
        <w:rPr>
          <w:b/>
          <w:sz w:val="24"/>
        </w:rPr>
        <w:t xml:space="preserve"> </w:t>
      </w:r>
      <w:r w:rsidR="00D806D3" w:rsidRPr="00CC4D92">
        <w:rPr>
          <w:b/>
          <w:sz w:val="24"/>
        </w:rPr>
        <w:t>Symposium 202</w:t>
      </w:r>
      <w:r w:rsidR="002C3E47">
        <w:rPr>
          <w:b/>
          <w:sz w:val="24"/>
        </w:rPr>
        <w:t>5</w:t>
      </w:r>
      <w:r w:rsidR="00D40498">
        <w:rPr>
          <w:b/>
          <w:sz w:val="24"/>
        </w:rPr>
        <w:t xml:space="preserve"> – Presentation Synopsis</w:t>
      </w:r>
    </w:p>
    <w:p w14:paraId="12BD76BA" w14:textId="6D7F7D1F" w:rsidR="0004540F" w:rsidRPr="0004540F" w:rsidRDefault="0004540F" w:rsidP="0004540F">
      <w:pPr>
        <w:spacing w:after="0"/>
        <w:rPr>
          <w:b/>
        </w:rPr>
      </w:pPr>
      <w:r w:rsidRPr="0004540F">
        <w:rPr>
          <w:b/>
        </w:rPr>
        <w:t>1. Title of Presentation:</w:t>
      </w:r>
    </w:p>
    <w:p w14:paraId="0980667C" w14:textId="52904A2B" w:rsidR="0004540F" w:rsidRDefault="00167507" w:rsidP="0004540F">
      <w:pPr>
        <w:spacing w:after="0"/>
      </w:pPr>
      <w:r>
        <w:t>PETRA AI: Towards Permissive and Transparent Use of Generative AI in Education</w:t>
      </w:r>
    </w:p>
    <w:p w14:paraId="1DE85D45" w14:textId="77777777" w:rsidR="0004540F" w:rsidRDefault="0004540F" w:rsidP="0004540F">
      <w:pPr>
        <w:spacing w:after="0"/>
      </w:pPr>
    </w:p>
    <w:p w14:paraId="764ED8B6" w14:textId="5B9A560B" w:rsidR="0004540F" w:rsidRPr="0004540F" w:rsidRDefault="0004540F" w:rsidP="0004540F">
      <w:pPr>
        <w:spacing w:after="0"/>
        <w:rPr>
          <w:b/>
        </w:rPr>
      </w:pPr>
      <w:r w:rsidRPr="0004540F">
        <w:rPr>
          <w:b/>
        </w:rPr>
        <w:t>2. Presenter(s) Name(s) and Affiliation(s):</w:t>
      </w:r>
    </w:p>
    <w:p w14:paraId="49DCA43F" w14:textId="79767C5B" w:rsidR="0004540F" w:rsidRDefault="00167507" w:rsidP="0004540F">
      <w:pPr>
        <w:spacing w:after="0"/>
      </w:pPr>
      <w:r>
        <w:t>Stoo Sepp, School of Education, HASSE</w:t>
      </w:r>
    </w:p>
    <w:p w14:paraId="3095CE8B" w14:textId="77777777" w:rsidR="0004540F" w:rsidRDefault="0004540F" w:rsidP="0004540F">
      <w:pPr>
        <w:spacing w:after="0"/>
      </w:pPr>
    </w:p>
    <w:p w14:paraId="7E21732C" w14:textId="1A784F4A" w:rsidR="0004540F" w:rsidRDefault="0004540F" w:rsidP="0004540F">
      <w:pPr>
        <w:spacing w:after="0"/>
        <w:rPr>
          <w:b/>
        </w:rPr>
      </w:pPr>
      <w:r w:rsidRPr="0004540F">
        <w:rPr>
          <w:b/>
        </w:rPr>
        <w:t>3. Main Takeaways:</w:t>
      </w:r>
    </w:p>
    <w:p w14:paraId="644C6687" w14:textId="493B51C8" w:rsidR="0004540F" w:rsidRDefault="0004540F" w:rsidP="0004540F">
      <w:pPr>
        <w:spacing w:after="0"/>
      </w:pPr>
      <w:r w:rsidRPr="0004540F">
        <w:rPr>
          <w:b/>
          <w:i/>
        </w:rPr>
        <w:t>Takeaway 1</w:t>
      </w:r>
      <w:r w:rsidR="00D40498">
        <w:rPr>
          <w:b/>
          <w:i/>
        </w:rPr>
        <w:t xml:space="preserve">: </w:t>
      </w:r>
      <w:r w:rsidR="00167507">
        <w:t xml:space="preserve">Many </w:t>
      </w:r>
      <w:r w:rsidR="00AD79BE">
        <w:t>frameworks</w:t>
      </w:r>
      <w:r w:rsidR="00167507">
        <w:t xml:space="preserve"> for</w:t>
      </w:r>
      <w:r w:rsidR="00AD79BE">
        <w:t xml:space="preserve"> sharing what uses of GenAI are permitted are vague and </w:t>
      </w:r>
      <w:r w:rsidR="00607F99">
        <w:t>are</w:t>
      </w:r>
      <w:r w:rsidR="00AD79BE">
        <w:t xml:space="preserve"> usually communicated unidirectionally to the student.</w:t>
      </w:r>
    </w:p>
    <w:p w14:paraId="62063982" w14:textId="42443717" w:rsidR="0004540F" w:rsidRDefault="0004540F" w:rsidP="0004540F">
      <w:pPr>
        <w:spacing w:after="0"/>
      </w:pPr>
      <w:r w:rsidRPr="0004540F">
        <w:rPr>
          <w:b/>
          <w:i/>
        </w:rPr>
        <w:t>Takeaway 2</w:t>
      </w:r>
      <w:r w:rsidR="00D40498">
        <w:rPr>
          <w:b/>
          <w:i/>
        </w:rPr>
        <w:t xml:space="preserve">: </w:t>
      </w:r>
      <w:r w:rsidR="00AD79BE">
        <w:t>PETRA AI is a new website that provides a new framework for specific</w:t>
      </w:r>
      <w:r w:rsidR="00607F99">
        <w:t>,</w:t>
      </w:r>
      <w:r w:rsidR="00AD79BE">
        <w:t xml:space="preserve"> permissive and transparent use of GenAI by both the teacher and the student.</w:t>
      </w:r>
    </w:p>
    <w:p w14:paraId="23D922B8" w14:textId="77777777" w:rsidR="0004540F" w:rsidRDefault="0004540F" w:rsidP="0004540F">
      <w:pPr>
        <w:spacing w:after="0"/>
      </w:pPr>
    </w:p>
    <w:p w14:paraId="5C15B54C" w14:textId="72868189" w:rsidR="0004540F" w:rsidRDefault="0004540F" w:rsidP="0004540F">
      <w:pPr>
        <w:spacing w:after="0"/>
        <w:rPr>
          <w:b/>
        </w:rPr>
      </w:pPr>
      <w:r w:rsidRPr="0004540F">
        <w:rPr>
          <w:b/>
        </w:rPr>
        <w:t>4. Application in Educational Contexts:</w:t>
      </w:r>
    </w:p>
    <w:p w14:paraId="5E95E682" w14:textId="77777777" w:rsidR="00D40498" w:rsidRDefault="00D40498" w:rsidP="0004540F">
      <w:pPr>
        <w:spacing w:after="0"/>
        <w:rPr>
          <w:b/>
        </w:rPr>
      </w:pPr>
    </w:p>
    <w:p w14:paraId="47D91740" w14:textId="0FE94BB1" w:rsidR="0004540F" w:rsidRDefault="0004540F" w:rsidP="0004540F">
      <w:pPr>
        <w:spacing w:after="0"/>
      </w:pPr>
      <w:r w:rsidRPr="0004540F">
        <w:rPr>
          <w:b/>
          <w:i/>
        </w:rPr>
        <w:t>Teaching Methods:</w:t>
      </w:r>
      <w:r w:rsidR="00607F99">
        <w:rPr>
          <w:b/>
          <w:i/>
        </w:rPr>
        <w:t xml:space="preserve"> </w:t>
      </w:r>
    </w:p>
    <w:p w14:paraId="1EE725FB" w14:textId="6C5A9139" w:rsidR="0004540F" w:rsidRDefault="00AD79BE" w:rsidP="0004540F">
      <w:pPr>
        <w:spacing w:after="0"/>
      </w:pPr>
      <w:r>
        <w:t>The PETRA AI website (</w:t>
      </w:r>
      <w:hyperlink r:id="rId6" w:history="1">
        <w:r w:rsidRPr="00AB5272">
          <w:rPr>
            <w:rStyle w:val="Hyperlink"/>
          </w:rPr>
          <w:t>https://www.petraai.org/</w:t>
        </w:r>
      </w:hyperlink>
      <w:r>
        <w:t>) allows teachers to create digital downloadable badges that outline the purposes for which students can use Generative AI for a task or assessment, ranging from NO GenAI to Any GenAI and everything in between. Conversely, students can then use the same badging system to disclose how they used GenAI for their work.</w:t>
      </w:r>
    </w:p>
    <w:p w14:paraId="576489CC" w14:textId="77777777" w:rsidR="00D40498" w:rsidRDefault="00D40498" w:rsidP="0004540F">
      <w:pPr>
        <w:spacing w:after="0"/>
        <w:rPr>
          <w:b/>
        </w:rPr>
      </w:pPr>
    </w:p>
    <w:p w14:paraId="24A8BEF7" w14:textId="04096EBD" w:rsidR="0004540F" w:rsidRDefault="0004540F" w:rsidP="0004540F">
      <w:pPr>
        <w:spacing w:after="0"/>
      </w:pPr>
      <w:r w:rsidRPr="0004540F">
        <w:rPr>
          <w:b/>
        </w:rPr>
        <w:t>Assessment</w:t>
      </w:r>
      <w:r w:rsidR="00607F99">
        <w:t xml:space="preserve"> </w:t>
      </w:r>
    </w:p>
    <w:p w14:paraId="7D7E7B7F" w14:textId="315BC6E7" w:rsidR="0004540F" w:rsidRDefault="00AF1D92" w:rsidP="0004540F">
      <w:pPr>
        <w:spacing w:after="0"/>
      </w:pPr>
      <w:r>
        <w:t xml:space="preserve">PETRA AI badges allow teachers and students more transparency in how GenAI can and is used for their assessment </w:t>
      </w:r>
      <w:r w:rsidR="000B2B3A">
        <w:t>tasks, normalising</w:t>
      </w:r>
      <w:r>
        <w:t xml:space="preserve"> its use and moving away from a policing model. </w:t>
      </w:r>
    </w:p>
    <w:p w14:paraId="7C407842" w14:textId="77777777" w:rsidR="00D40498" w:rsidRDefault="00D40498" w:rsidP="0004540F">
      <w:pPr>
        <w:spacing w:after="0"/>
        <w:rPr>
          <w:b/>
        </w:rPr>
      </w:pPr>
    </w:p>
    <w:p w14:paraId="7854C4AC" w14:textId="78EA0D4B" w:rsidR="0004540F" w:rsidRDefault="0004540F" w:rsidP="0004540F">
      <w:pPr>
        <w:spacing w:after="0"/>
      </w:pPr>
      <w:r w:rsidRPr="0004540F">
        <w:rPr>
          <w:b/>
        </w:rPr>
        <w:t>Student Engagement:</w:t>
      </w:r>
      <w:r>
        <w:t xml:space="preserve"> </w:t>
      </w:r>
      <w:r w:rsidR="00607F99">
        <w:t xml:space="preserve"> </w:t>
      </w:r>
    </w:p>
    <w:p w14:paraId="05953BAC" w14:textId="3D842925" w:rsidR="0004540F" w:rsidRDefault="00AF1D92" w:rsidP="0004540F">
      <w:pPr>
        <w:spacing w:after="0"/>
      </w:pPr>
      <w:r>
        <w:t>This tool provides a mechanism for students to reflect on their use of GenAI and its appropriateness. Teachers can also use the tool to educate students about its potential uses and model them.</w:t>
      </w:r>
    </w:p>
    <w:p w14:paraId="154DD61E" w14:textId="77777777" w:rsidR="00D40498" w:rsidRDefault="00D40498" w:rsidP="0004540F">
      <w:pPr>
        <w:spacing w:after="0"/>
        <w:rPr>
          <w:b/>
        </w:rPr>
      </w:pPr>
    </w:p>
    <w:p w14:paraId="491ED627" w14:textId="460CDEC5" w:rsidR="0004540F" w:rsidRDefault="0004540F" w:rsidP="0004540F">
      <w:pPr>
        <w:spacing w:after="0"/>
      </w:pPr>
      <w:r w:rsidRPr="0004540F">
        <w:rPr>
          <w:b/>
        </w:rPr>
        <w:t xml:space="preserve">Curriculum </w:t>
      </w:r>
      <w:r w:rsidR="008C7E8B" w:rsidRPr="0004540F">
        <w:rPr>
          <w:b/>
        </w:rPr>
        <w:t>Development:</w:t>
      </w:r>
      <w:r w:rsidR="008C7E8B">
        <w:t xml:space="preserve"> </w:t>
      </w:r>
      <w:r w:rsidR="00607F99">
        <w:t xml:space="preserve"> </w:t>
      </w:r>
    </w:p>
    <w:p w14:paraId="0F974178" w14:textId="673F9C41" w:rsidR="0004540F" w:rsidRDefault="00AF1D92" w:rsidP="0004540F">
      <w:pPr>
        <w:spacing w:after="0"/>
      </w:pPr>
      <w:r>
        <w:t>NA</w:t>
      </w:r>
    </w:p>
    <w:p w14:paraId="38B75583" w14:textId="77777777" w:rsidR="0004540F" w:rsidRDefault="0004540F" w:rsidP="0004540F">
      <w:pPr>
        <w:spacing w:after="0"/>
      </w:pPr>
    </w:p>
    <w:p w14:paraId="6C584FEA" w14:textId="3B58636E" w:rsidR="0004540F" w:rsidRDefault="0004540F" w:rsidP="0004540F">
      <w:pPr>
        <w:spacing w:after="0"/>
        <w:rPr>
          <w:b/>
        </w:rPr>
      </w:pPr>
      <w:r w:rsidRPr="0004540F">
        <w:rPr>
          <w:b/>
        </w:rPr>
        <w:t>5. Valuable Sources and References:</w:t>
      </w:r>
    </w:p>
    <w:p w14:paraId="12FEAF3C" w14:textId="5EB175C4" w:rsidR="0004540F" w:rsidRDefault="0004540F" w:rsidP="0004540F">
      <w:pPr>
        <w:spacing w:after="0"/>
      </w:pPr>
      <w:r w:rsidRPr="00CC4D92">
        <w:rPr>
          <w:b/>
        </w:rPr>
        <w:t>Source 1</w:t>
      </w:r>
      <w:r w:rsidR="00D40498">
        <w:rPr>
          <w:b/>
        </w:rPr>
        <w:t>:</w:t>
      </w:r>
      <w:r>
        <w:t xml:space="preserve"> </w:t>
      </w:r>
      <w:r w:rsidR="006217EE" w:rsidRPr="006217EE">
        <w:t>Perkins, M., Furze, L., Roe, J., &amp; </w:t>
      </w:r>
      <w:proofErr w:type="spellStart"/>
      <w:r w:rsidR="006217EE" w:rsidRPr="006217EE">
        <w:t>MacVaugh</w:t>
      </w:r>
      <w:proofErr w:type="spellEnd"/>
      <w:r w:rsidR="006217EE" w:rsidRPr="006217EE">
        <w:t>, J. (2024). The Artificial Intelligence Assessment Scale (AIAS): A Framework for Ethical Integration of Generative AI in Educational Assessment. </w:t>
      </w:r>
      <w:r w:rsidR="006217EE" w:rsidRPr="006217EE">
        <w:rPr>
          <w:i/>
          <w:iCs/>
        </w:rPr>
        <w:t>Journal of University Teaching and Learning Practice</w:t>
      </w:r>
      <w:r w:rsidR="006217EE" w:rsidRPr="006217EE">
        <w:t>, </w:t>
      </w:r>
      <w:r w:rsidR="006217EE" w:rsidRPr="006217EE">
        <w:rPr>
          <w:i/>
          <w:iCs/>
        </w:rPr>
        <w:t>21</w:t>
      </w:r>
      <w:r w:rsidR="006217EE" w:rsidRPr="006217EE">
        <w:t xml:space="preserve">(06). </w:t>
      </w:r>
      <w:hyperlink r:id="rId7" w:history="1">
        <w:r w:rsidR="006217EE" w:rsidRPr="00AB5272">
          <w:rPr>
            <w:rStyle w:val="Hyperlink"/>
          </w:rPr>
          <w:t>https://doi.org/10.53761/q3azde36</w:t>
        </w:r>
      </w:hyperlink>
      <w:r w:rsidR="006217EE">
        <w:t xml:space="preserve"> </w:t>
      </w:r>
    </w:p>
    <w:p w14:paraId="4F954193" w14:textId="5082DDAC" w:rsidR="0004540F" w:rsidRDefault="0004540F" w:rsidP="0004540F">
      <w:pPr>
        <w:spacing w:after="0"/>
      </w:pPr>
      <w:r w:rsidRPr="00CC4D92">
        <w:rPr>
          <w:b/>
        </w:rPr>
        <w:t>Source 2</w:t>
      </w:r>
      <w:r w:rsidR="006217EE">
        <w:rPr>
          <w:b/>
        </w:rPr>
        <w:t xml:space="preserve">: </w:t>
      </w:r>
      <w:r w:rsidR="006217EE" w:rsidRPr="006217EE">
        <w:rPr>
          <w:bCs/>
        </w:rPr>
        <w:t xml:space="preserve">Perkins, M., Furze, L., Roe, J., &amp; </w:t>
      </w:r>
      <w:proofErr w:type="spellStart"/>
      <w:r w:rsidR="006217EE" w:rsidRPr="006217EE">
        <w:rPr>
          <w:bCs/>
        </w:rPr>
        <w:t>MacVaugh</w:t>
      </w:r>
      <w:proofErr w:type="spellEnd"/>
      <w:r w:rsidR="006217EE" w:rsidRPr="006217EE">
        <w:rPr>
          <w:bCs/>
        </w:rPr>
        <w:t xml:space="preserve">, J. (2024). The Artificial Intelligence Assessment Scale (AIAS): A Framework for Ethical Integration of Generative AI in Educational Assessment. Journal of University Teaching and Learning Practice, 21(06). </w:t>
      </w:r>
      <w:hyperlink r:id="rId8" w:history="1">
        <w:r w:rsidR="006217EE" w:rsidRPr="00AB5272">
          <w:rPr>
            <w:rStyle w:val="Hyperlink"/>
            <w:bCs/>
          </w:rPr>
          <w:t>https://doi.org/10.53761/q3azde36</w:t>
        </w:r>
      </w:hyperlink>
      <w:r w:rsidR="006217EE">
        <w:rPr>
          <w:bCs/>
        </w:rPr>
        <w:t xml:space="preserve"> </w:t>
      </w:r>
    </w:p>
    <w:p w14:paraId="2C0187C2" w14:textId="77777777" w:rsidR="0004540F" w:rsidRDefault="0004540F" w:rsidP="0004540F">
      <w:pPr>
        <w:spacing w:after="0"/>
      </w:pPr>
    </w:p>
    <w:p w14:paraId="51C1F1C5" w14:textId="4BCB8331" w:rsidR="0004540F" w:rsidRDefault="0004540F" w:rsidP="0004540F">
      <w:pPr>
        <w:spacing w:after="0"/>
        <w:rPr>
          <w:b/>
        </w:rPr>
      </w:pPr>
      <w:r w:rsidRPr="0004540F">
        <w:rPr>
          <w:b/>
        </w:rPr>
        <w:t>6. Weakness and Area for Future Research:</w:t>
      </w:r>
    </w:p>
    <w:p w14:paraId="1864F9AC" w14:textId="22314543" w:rsidR="0004540F" w:rsidRDefault="0004540F" w:rsidP="0004540F">
      <w:pPr>
        <w:spacing w:after="0"/>
      </w:pPr>
      <w:r w:rsidRPr="00CC4D92">
        <w:rPr>
          <w:b/>
        </w:rPr>
        <w:t>Weakness:</w:t>
      </w:r>
      <w:r>
        <w:t xml:space="preserve"> </w:t>
      </w:r>
      <w:r w:rsidR="006217EE">
        <w:t>This is a first attempt to articulate clear permissive use of GenAI by this researcher. It is not exhaustive, so research will inform future iteration.</w:t>
      </w:r>
    </w:p>
    <w:p w14:paraId="74CAEC8F" w14:textId="0A2412EF" w:rsidR="0004540F" w:rsidRDefault="0004540F" w:rsidP="0004540F">
      <w:pPr>
        <w:spacing w:after="0"/>
      </w:pPr>
      <w:r w:rsidRPr="00CC4D92">
        <w:rPr>
          <w:b/>
        </w:rPr>
        <w:t xml:space="preserve">Future </w:t>
      </w:r>
      <w:r w:rsidR="00D40498" w:rsidRPr="00CC4D92">
        <w:rPr>
          <w:b/>
        </w:rPr>
        <w:t>Research:</w:t>
      </w:r>
      <w:r w:rsidR="00D40498">
        <w:t xml:space="preserve"> </w:t>
      </w:r>
      <w:r w:rsidR="006217EE">
        <w:t>Future research will explore the categorisation of GenAI uses in educational settings and explore new ways of sharing its use.</w:t>
      </w:r>
    </w:p>
    <w:p w14:paraId="27E2292E" w14:textId="77777777" w:rsidR="00797C68" w:rsidRDefault="00797C68" w:rsidP="0004540F">
      <w:pPr>
        <w:spacing w:after="0"/>
      </w:pPr>
    </w:p>
    <w:sectPr w:rsidR="00797C6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27EBA" w14:textId="77777777" w:rsidR="00212DE2" w:rsidRDefault="00212DE2" w:rsidP="00342DC1">
      <w:pPr>
        <w:spacing w:after="0" w:line="240" w:lineRule="auto"/>
      </w:pPr>
      <w:r>
        <w:separator/>
      </w:r>
    </w:p>
  </w:endnote>
  <w:endnote w:type="continuationSeparator" w:id="0">
    <w:p w14:paraId="31631AC3" w14:textId="77777777" w:rsidR="00212DE2" w:rsidRDefault="00212DE2" w:rsidP="00342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32E7" w14:textId="0ED1AF10" w:rsidR="00342DC1" w:rsidRPr="00D40498" w:rsidRDefault="00D40498">
    <w:pPr>
      <w:pStyle w:val="Footer"/>
      <w:rPr>
        <w:sz w:val="18"/>
        <w:szCs w:val="18"/>
      </w:rPr>
    </w:pPr>
    <w:r w:rsidRPr="00D40498">
      <w:rPr>
        <w:sz w:val="18"/>
        <w:szCs w:val="18"/>
      </w:rPr>
      <w:t>Presentation Synopsis for L&amp;T Symposium 2024</w:t>
    </w:r>
    <w:r w:rsidR="008C7E8B">
      <w:rPr>
        <w:sz w:val="18"/>
        <w:szCs w:val="18"/>
      </w:rPr>
      <w:t xml:space="preserve">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CEA20" w14:textId="77777777" w:rsidR="00212DE2" w:rsidRDefault="00212DE2" w:rsidP="00342DC1">
      <w:pPr>
        <w:spacing w:after="0" w:line="240" w:lineRule="auto"/>
      </w:pPr>
      <w:r>
        <w:separator/>
      </w:r>
    </w:p>
  </w:footnote>
  <w:footnote w:type="continuationSeparator" w:id="0">
    <w:p w14:paraId="454166C4" w14:textId="77777777" w:rsidR="00212DE2" w:rsidRDefault="00212DE2" w:rsidP="00342D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6BA"/>
    <w:rsid w:val="0004540F"/>
    <w:rsid w:val="000B2B3A"/>
    <w:rsid w:val="00167507"/>
    <w:rsid w:val="001D16BA"/>
    <w:rsid w:val="00212DE2"/>
    <w:rsid w:val="00253D01"/>
    <w:rsid w:val="002C3E47"/>
    <w:rsid w:val="00342DC1"/>
    <w:rsid w:val="004356B9"/>
    <w:rsid w:val="005F1BA1"/>
    <w:rsid w:val="00607F99"/>
    <w:rsid w:val="006217EE"/>
    <w:rsid w:val="00721074"/>
    <w:rsid w:val="00797C68"/>
    <w:rsid w:val="008A4358"/>
    <w:rsid w:val="008C7E8B"/>
    <w:rsid w:val="00934B84"/>
    <w:rsid w:val="00977051"/>
    <w:rsid w:val="00AD79BE"/>
    <w:rsid w:val="00AF1D92"/>
    <w:rsid w:val="00BB4FCA"/>
    <w:rsid w:val="00C76726"/>
    <w:rsid w:val="00CA54E4"/>
    <w:rsid w:val="00CC4D92"/>
    <w:rsid w:val="00D40498"/>
    <w:rsid w:val="00D806D3"/>
    <w:rsid w:val="00F6128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4FE2C"/>
  <w15:chartTrackingRefBased/>
  <w15:docId w15:val="{44E6285D-000C-4626-98AC-83AC2C48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4D92"/>
    <w:rPr>
      <w:sz w:val="16"/>
      <w:szCs w:val="16"/>
    </w:rPr>
  </w:style>
  <w:style w:type="paragraph" w:styleId="CommentText">
    <w:name w:val="annotation text"/>
    <w:basedOn w:val="Normal"/>
    <w:link w:val="CommentTextChar"/>
    <w:uiPriority w:val="99"/>
    <w:semiHidden/>
    <w:unhideWhenUsed/>
    <w:rsid w:val="00CC4D92"/>
    <w:pPr>
      <w:spacing w:line="240" w:lineRule="auto"/>
    </w:pPr>
    <w:rPr>
      <w:sz w:val="20"/>
      <w:szCs w:val="20"/>
    </w:rPr>
  </w:style>
  <w:style w:type="character" w:customStyle="1" w:styleId="CommentTextChar">
    <w:name w:val="Comment Text Char"/>
    <w:basedOn w:val="DefaultParagraphFont"/>
    <w:link w:val="CommentText"/>
    <w:uiPriority w:val="99"/>
    <w:semiHidden/>
    <w:rsid w:val="00CC4D92"/>
    <w:rPr>
      <w:sz w:val="20"/>
      <w:szCs w:val="20"/>
    </w:rPr>
  </w:style>
  <w:style w:type="paragraph" w:styleId="CommentSubject">
    <w:name w:val="annotation subject"/>
    <w:basedOn w:val="CommentText"/>
    <w:next w:val="CommentText"/>
    <w:link w:val="CommentSubjectChar"/>
    <w:uiPriority w:val="99"/>
    <w:semiHidden/>
    <w:unhideWhenUsed/>
    <w:rsid w:val="00CC4D92"/>
    <w:rPr>
      <w:b/>
      <w:bCs/>
    </w:rPr>
  </w:style>
  <w:style w:type="character" w:customStyle="1" w:styleId="CommentSubjectChar">
    <w:name w:val="Comment Subject Char"/>
    <w:basedOn w:val="CommentTextChar"/>
    <w:link w:val="CommentSubject"/>
    <w:uiPriority w:val="99"/>
    <w:semiHidden/>
    <w:rsid w:val="00CC4D92"/>
    <w:rPr>
      <w:b/>
      <w:bCs/>
      <w:sz w:val="20"/>
      <w:szCs w:val="20"/>
    </w:rPr>
  </w:style>
  <w:style w:type="paragraph" w:styleId="BalloonText">
    <w:name w:val="Balloon Text"/>
    <w:basedOn w:val="Normal"/>
    <w:link w:val="BalloonTextChar"/>
    <w:uiPriority w:val="99"/>
    <w:semiHidden/>
    <w:unhideWhenUsed/>
    <w:rsid w:val="00CC4D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D92"/>
    <w:rPr>
      <w:rFonts w:ascii="Segoe UI" w:hAnsi="Segoe UI" w:cs="Segoe UI"/>
      <w:sz w:val="18"/>
      <w:szCs w:val="18"/>
    </w:rPr>
  </w:style>
  <w:style w:type="paragraph" w:styleId="Header">
    <w:name w:val="header"/>
    <w:basedOn w:val="Normal"/>
    <w:link w:val="HeaderChar"/>
    <w:uiPriority w:val="99"/>
    <w:unhideWhenUsed/>
    <w:rsid w:val="00342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2DC1"/>
  </w:style>
  <w:style w:type="paragraph" w:styleId="Footer">
    <w:name w:val="footer"/>
    <w:basedOn w:val="Normal"/>
    <w:link w:val="FooterChar"/>
    <w:uiPriority w:val="99"/>
    <w:unhideWhenUsed/>
    <w:rsid w:val="00342D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2DC1"/>
  </w:style>
  <w:style w:type="character" w:styleId="Hyperlink">
    <w:name w:val="Hyperlink"/>
    <w:basedOn w:val="DefaultParagraphFont"/>
    <w:uiPriority w:val="99"/>
    <w:unhideWhenUsed/>
    <w:rsid w:val="00AD79BE"/>
    <w:rPr>
      <w:color w:val="0563C1" w:themeColor="hyperlink"/>
      <w:u w:val="single"/>
    </w:rPr>
  </w:style>
  <w:style w:type="character" w:styleId="UnresolvedMention">
    <w:name w:val="Unresolved Mention"/>
    <w:basedOn w:val="DefaultParagraphFont"/>
    <w:uiPriority w:val="99"/>
    <w:semiHidden/>
    <w:unhideWhenUsed/>
    <w:rsid w:val="00AD7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3761/q3azde36" TargetMode="External"/><Relationship Id="rId3" Type="http://schemas.openxmlformats.org/officeDocument/2006/relationships/webSettings" Target="webSettings.xml"/><Relationship Id="rId7" Type="http://schemas.openxmlformats.org/officeDocument/2006/relationships/hyperlink" Target="https://doi.org/10.53761/q3azde3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etraai.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UNE</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Matthews</dc:creator>
  <cp:keywords/>
  <dc:description/>
  <cp:lastModifiedBy>Kashmira Dave</cp:lastModifiedBy>
  <cp:revision>9</cp:revision>
  <dcterms:created xsi:type="dcterms:W3CDTF">2024-07-01T03:17:00Z</dcterms:created>
  <dcterms:modified xsi:type="dcterms:W3CDTF">2025-10-07T07:57:00Z</dcterms:modified>
</cp:coreProperties>
</file>