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5008" w14:textId="171643F5" w:rsidR="0004540F" w:rsidRDefault="00CC4D92" w:rsidP="00CC4D92">
      <w:pPr>
        <w:tabs>
          <w:tab w:val="left" w:pos="3686"/>
        </w:tabs>
        <w:spacing w:after="0"/>
        <w:rPr>
          <w:b/>
          <w:sz w:val="24"/>
        </w:rPr>
      </w:pPr>
      <w:r w:rsidRPr="00CC4D92">
        <w:rPr>
          <w:b/>
          <w:sz w:val="24"/>
        </w:rPr>
        <w:t>UNE</w:t>
      </w:r>
      <w:r w:rsidR="00D806D3">
        <w:rPr>
          <w:b/>
          <w:sz w:val="24"/>
        </w:rPr>
        <w:t xml:space="preserve"> L&amp;T</w:t>
      </w:r>
      <w:r w:rsidRPr="00CC4D92">
        <w:rPr>
          <w:b/>
          <w:sz w:val="24"/>
        </w:rPr>
        <w:t xml:space="preserve"> </w:t>
      </w:r>
      <w:r w:rsidR="00D806D3" w:rsidRPr="00CC4D92">
        <w:rPr>
          <w:b/>
          <w:sz w:val="24"/>
        </w:rPr>
        <w:t>Symposium 202</w:t>
      </w:r>
      <w:r w:rsidR="00857967">
        <w:rPr>
          <w:b/>
          <w:sz w:val="24"/>
        </w:rPr>
        <w:t>5</w:t>
      </w:r>
      <w:r w:rsidR="00D40498">
        <w:rPr>
          <w:b/>
          <w:sz w:val="24"/>
        </w:rPr>
        <w:t xml:space="preserve"> – Presentation Synopsis</w:t>
      </w:r>
    </w:p>
    <w:p w14:paraId="12BD76BA" w14:textId="6D7F7D1F" w:rsidR="0004540F" w:rsidRPr="0004540F" w:rsidRDefault="0004540F" w:rsidP="0004540F">
      <w:pPr>
        <w:spacing w:after="0"/>
        <w:rPr>
          <w:b/>
        </w:rPr>
      </w:pPr>
      <w:r w:rsidRPr="0004540F">
        <w:rPr>
          <w:b/>
        </w:rPr>
        <w:t>1. Title of Presentation:</w:t>
      </w:r>
    </w:p>
    <w:p w14:paraId="0980667C" w14:textId="322B278F" w:rsidR="0004540F" w:rsidRPr="00F956B9" w:rsidRDefault="00227CE8" w:rsidP="0004540F">
      <w:pPr>
        <w:spacing w:after="0"/>
        <w:rPr>
          <w:iCs/>
        </w:rPr>
      </w:pPr>
      <w:r w:rsidRPr="00F956B9">
        <w:rPr>
          <w:iCs/>
        </w:rPr>
        <w:t>How does GenAI-integrated learning task affect students’ knowledge retention</w:t>
      </w:r>
    </w:p>
    <w:p w14:paraId="1DE85D45" w14:textId="77777777" w:rsidR="0004540F" w:rsidRDefault="0004540F" w:rsidP="0004540F">
      <w:pPr>
        <w:spacing w:after="0"/>
      </w:pPr>
    </w:p>
    <w:p w14:paraId="764ED8B6" w14:textId="5B9A560B" w:rsidR="0004540F" w:rsidRPr="0004540F" w:rsidRDefault="0004540F" w:rsidP="0004540F">
      <w:pPr>
        <w:spacing w:after="0"/>
        <w:rPr>
          <w:b/>
        </w:rPr>
      </w:pPr>
      <w:r w:rsidRPr="0004540F">
        <w:rPr>
          <w:b/>
        </w:rPr>
        <w:t>2. Presenter(s) Name(s) and Affiliation(s):</w:t>
      </w:r>
    </w:p>
    <w:p w14:paraId="1E30744B" w14:textId="4C39D1D0" w:rsidR="00227CE8" w:rsidRPr="00F956B9" w:rsidRDefault="00227CE8" w:rsidP="0004540F">
      <w:pPr>
        <w:spacing w:after="0"/>
        <w:rPr>
          <w:iCs/>
        </w:rPr>
      </w:pPr>
      <w:r w:rsidRPr="00F956B9">
        <w:rPr>
          <w:iCs/>
        </w:rPr>
        <w:t>Dr Saugat Neupane, UNE</w:t>
      </w:r>
    </w:p>
    <w:p w14:paraId="49DCA43F" w14:textId="066ECBC7" w:rsidR="0004540F" w:rsidRPr="00F956B9" w:rsidRDefault="00227CE8" w:rsidP="0004540F">
      <w:pPr>
        <w:spacing w:after="0"/>
        <w:rPr>
          <w:iCs/>
        </w:rPr>
      </w:pPr>
      <w:r w:rsidRPr="00F956B9">
        <w:rPr>
          <w:iCs/>
        </w:rPr>
        <w:t>A/Prof Subas Dhakal, UNE</w:t>
      </w:r>
    </w:p>
    <w:p w14:paraId="1992B015" w14:textId="41159BC4" w:rsidR="00227CE8" w:rsidRPr="00F956B9" w:rsidRDefault="00227CE8" w:rsidP="0004540F">
      <w:pPr>
        <w:spacing w:after="0"/>
        <w:rPr>
          <w:iCs/>
        </w:rPr>
      </w:pPr>
      <w:r w:rsidRPr="00F956B9">
        <w:rPr>
          <w:iCs/>
        </w:rPr>
        <w:t>A/Prof Guy Curtis, UWA</w:t>
      </w:r>
      <w:r w:rsidR="00857967">
        <w:rPr>
          <w:iCs/>
        </w:rPr>
        <w:t xml:space="preserve"> </w:t>
      </w:r>
    </w:p>
    <w:p w14:paraId="3095CE8B" w14:textId="77777777" w:rsidR="0004540F" w:rsidRDefault="0004540F" w:rsidP="0004540F">
      <w:pPr>
        <w:spacing w:after="0"/>
      </w:pPr>
    </w:p>
    <w:p w14:paraId="7E21732C" w14:textId="1A784F4A" w:rsidR="0004540F" w:rsidRDefault="0004540F" w:rsidP="0004540F">
      <w:pPr>
        <w:spacing w:after="0"/>
        <w:rPr>
          <w:b/>
        </w:rPr>
      </w:pPr>
      <w:r w:rsidRPr="0004540F">
        <w:rPr>
          <w:b/>
        </w:rPr>
        <w:t>3. Main Takeaways:</w:t>
      </w:r>
    </w:p>
    <w:p w14:paraId="644C6687" w14:textId="7BDD91BC" w:rsidR="0004540F" w:rsidRPr="00F956B9" w:rsidRDefault="00D40498" w:rsidP="0004540F">
      <w:pPr>
        <w:spacing w:after="0"/>
      </w:pPr>
      <w:r w:rsidRPr="00D40498">
        <w:rPr>
          <w:bCs/>
          <w:color w:val="767171" w:themeColor="background2" w:themeShade="80"/>
          <w:lang w:val="en-GB"/>
        </w:rPr>
        <w:t xml:space="preserve"> </w:t>
      </w:r>
      <w:r w:rsidR="0004540F" w:rsidRPr="0004540F">
        <w:rPr>
          <w:b/>
          <w:i/>
        </w:rPr>
        <w:t>Takeaway 1</w:t>
      </w:r>
      <w:r>
        <w:rPr>
          <w:b/>
          <w:i/>
        </w:rPr>
        <w:t xml:space="preserve">: </w:t>
      </w:r>
      <w:r w:rsidR="00227CE8" w:rsidRPr="00F956B9">
        <w:t>GenAI users and those who provided critical reflection on their process performed better across all other criteria in the</w:t>
      </w:r>
      <w:r w:rsidR="00AE1CD9" w:rsidRPr="00F956B9">
        <w:t>ir</w:t>
      </w:r>
      <w:r w:rsidR="00227CE8" w:rsidRPr="00F956B9">
        <w:t xml:space="preserve"> assignment</w:t>
      </w:r>
      <w:r w:rsidR="00AE1CD9" w:rsidRPr="00F956B9">
        <w:t>, except those who did not use AI, or those who used AI for creating content.</w:t>
      </w:r>
    </w:p>
    <w:p w14:paraId="62063982" w14:textId="182E05DC" w:rsidR="0004540F" w:rsidRPr="00F956B9" w:rsidRDefault="0004540F" w:rsidP="0004540F">
      <w:pPr>
        <w:spacing w:after="0"/>
      </w:pPr>
      <w:r w:rsidRPr="0004540F">
        <w:rPr>
          <w:b/>
          <w:i/>
        </w:rPr>
        <w:t>Takeaway 2</w:t>
      </w:r>
      <w:r w:rsidR="00D40498">
        <w:rPr>
          <w:b/>
          <w:i/>
        </w:rPr>
        <w:t xml:space="preserve">: </w:t>
      </w:r>
      <w:r w:rsidR="00AE1CD9" w:rsidRPr="00F956B9">
        <w:t>Different forms of GenAI use in assignments did not significantly influence exam outcomes, suggesting that GenAI neither enhanced nor diminished knowledge retention.</w:t>
      </w:r>
    </w:p>
    <w:p w14:paraId="23D922B8" w14:textId="77777777" w:rsidR="0004540F" w:rsidRDefault="0004540F" w:rsidP="0004540F">
      <w:pPr>
        <w:spacing w:after="0"/>
      </w:pPr>
    </w:p>
    <w:p w14:paraId="5C15B54C" w14:textId="72868189" w:rsidR="0004540F" w:rsidRDefault="0004540F" w:rsidP="0004540F">
      <w:pPr>
        <w:spacing w:after="0"/>
        <w:rPr>
          <w:b/>
        </w:rPr>
      </w:pPr>
      <w:r w:rsidRPr="0004540F">
        <w:rPr>
          <w:b/>
        </w:rPr>
        <w:t>4. Application in Educational Contexts:</w:t>
      </w:r>
    </w:p>
    <w:p w14:paraId="5E95E682" w14:textId="77777777" w:rsidR="00D40498" w:rsidRDefault="00D40498" w:rsidP="0004540F">
      <w:pPr>
        <w:spacing w:after="0"/>
        <w:rPr>
          <w:b/>
        </w:rPr>
      </w:pPr>
    </w:p>
    <w:p w14:paraId="47D91740" w14:textId="6B237587" w:rsidR="0004540F" w:rsidRDefault="0004540F" w:rsidP="0004540F">
      <w:pPr>
        <w:spacing w:after="0"/>
      </w:pPr>
      <w:r w:rsidRPr="0004540F">
        <w:rPr>
          <w:b/>
          <w:i/>
        </w:rPr>
        <w:t>Teaching Methods:</w:t>
      </w:r>
      <w:r w:rsidR="002E35D3">
        <w:rPr>
          <w:b/>
          <w:i/>
        </w:rPr>
        <w:t xml:space="preserve"> </w:t>
      </w:r>
      <w:r w:rsidRPr="00CC4D92">
        <w:rPr>
          <w:i/>
        </w:rPr>
        <w:t>Specific ways the presentation's content can be incorporated into teaching practices – provide 2 sentences of 40 words or less – if not applicable indicate with NA</w:t>
      </w:r>
      <w:r>
        <w:t>.</w:t>
      </w:r>
    </w:p>
    <w:p w14:paraId="6E5DC8A4" w14:textId="1088CCBF" w:rsidR="0004540F" w:rsidRDefault="0004540F" w:rsidP="0004540F">
      <w:pPr>
        <w:spacing w:after="0"/>
      </w:pPr>
      <w:r>
        <w:t xml:space="preserve">  - </w:t>
      </w:r>
      <w:r w:rsidR="00F956B9">
        <w:t>The GenAI literacy approach adopted in the unit could apply to other units.</w:t>
      </w:r>
    </w:p>
    <w:p w14:paraId="576489CC" w14:textId="77777777" w:rsidR="00D40498" w:rsidRDefault="00D40498" w:rsidP="0004540F">
      <w:pPr>
        <w:spacing w:after="0"/>
        <w:rPr>
          <w:b/>
        </w:rPr>
      </w:pPr>
    </w:p>
    <w:p w14:paraId="24A8BEF7" w14:textId="35AE437D" w:rsidR="0004540F" w:rsidRDefault="0004540F" w:rsidP="0004540F">
      <w:pPr>
        <w:spacing w:after="0"/>
      </w:pPr>
      <w:r w:rsidRPr="0004540F">
        <w:rPr>
          <w:b/>
        </w:rPr>
        <w:t>Assessment:</w:t>
      </w:r>
      <w:r>
        <w:t xml:space="preserve"> </w:t>
      </w:r>
      <w:r w:rsidRPr="00CC4D92">
        <w:rPr>
          <w:i/>
        </w:rPr>
        <w:t>Specific ways the presentation's content can be incorporated into assessment practices – provide 2 sentences of 40 words or less – if not applicable</w:t>
      </w:r>
      <w:r w:rsidR="00857967">
        <w:rPr>
          <w:i/>
        </w:rPr>
        <w:t>,</w:t>
      </w:r>
      <w:r w:rsidRPr="00CC4D92">
        <w:rPr>
          <w:i/>
        </w:rPr>
        <w:t xml:space="preserve"> indicate with NA</w:t>
      </w:r>
      <w:r>
        <w:t>.</w:t>
      </w:r>
    </w:p>
    <w:p w14:paraId="2601746B" w14:textId="703DFFCB" w:rsidR="00F956B9" w:rsidRPr="00F956B9" w:rsidRDefault="0004540F" w:rsidP="00F956B9">
      <w:pPr>
        <w:spacing w:after="0"/>
      </w:pPr>
      <w:r>
        <w:t xml:space="preserve">  </w:t>
      </w:r>
      <w:r w:rsidR="00F956B9">
        <w:t xml:space="preserve">- </w:t>
      </w:r>
      <w:r w:rsidR="00F956B9" w:rsidRPr="00F956B9">
        <w:t>The assessment design, declaration page, and rubric architecture could be adapted for other units or disciplines where AI usage is allowed</w:t>
      </w:r>
      <w:r w:rsidR="00857967">
        <w:t xml:space="preserve"> </w:t>
      </w:r>
    </w:p>
    <w:p w14:paraId="7C407842" w14:textId="703943FB" w:rsidR="00D40498" w:rsidRPr="00F956B9" w:rsidRDefault="00F956B9" w:rsidP="00F956B9">
      <w:pPr>
        <w:spacing w:after="0"/>
        <w:rPr>
          <w:b/>
        </w:rPr>
      </w:pPr>
      <w:r w:rsidRPr="00F956B9">
        <w:t xml:space="preserve">  - </w:t>
      </w:r>
      <w:r w:rsidR="00857967">
        <w:t xml:space="preserve"> </w:t>
      </w:r>
      <w:r w:rsidRPr="00F956B9">
        <w:t xml:space="preserve"> The findings could be a stepping stone for adopting 2-lane assessment architecture in other units and disciplines where AI is allowed</w:t>
      </w:r>
      <w:r w:rsidR="00857967">
        <w:t xml:space="preserve"> </w:t>
      </w:r>
    </w:p>
    <w:p w14:paraId="7854C4AC" w14:textId="60280C7C" w:rsidR="0004540F" w:rsidRDefault="0004540F" w:rsidP="0004540F">
      <w:pPr>
        <w:spacing w:after="0"/>
      </w:pPr>
      <w:r w:rsidRPr="0004540F">
        <w:rPr>
          <w:b/>
        </w:rPr>
        <w:t>Student Engagement:</w:t>
      </w:r>
      <w:r>
        <w:t xml:space="preserve"> </w:t>
      </w:r>
      <w:r w:rsidR="00857967">
        <w:t xml:space="preserve"> </w:t>
      </w:r>
      <w:r w:rsidRPr="00CC4D92">
        <w:rPr>
          <w:i/>
        </w:rPr>
        <w:t>Specific ways the presentation's content can be incorporated into student engagement – provide 2 sentences of 40 words or less – if not applicable indicate with NA</w:t>
      </w:r>
      <w:r>
        <w:t>.</w:t>
      </w:r>
      <w:r w:rsidR="00857967">
        <w:t xml:space="preserve"> </w:t>
      </w:r>
    </w:p>
    <w:p w14:paraId="154DD61E" w14:textId="2F097260" w:rsidR="00D40498" w:rsidRPr="00857967" w:rsidRDefault="0004540F" w:rsidP="0004540F">
      <w:pPr>
        <w:spacing w:after="0"/>
        <w:rPr>
          <w:iCs/>
        </w:rPr>
      </w:pPr>
      <w:r>
        <w:t xml:space="preserve">  - </w:t>
      </w:r>
      <w:r w:rsidR="00857967">
        <w:t xml:space="preserve"> </w:t>
      </w:r>
      <w:r w:rsidR="00F956B9" w:rsidRPr="00F956B9">
        <w:rPr>
          <w:iCs/>
        </w:rPr>
        <w:t>The AI-integrated weekly activities adopted in this unit could inform similar practices in other units to enhance asynchronous student engagement</w:t>
      </w:r>
      <w:r w:rsidR="00857967">
        <w:rPr>
          <w:iCs/>
        </w:rPr>
        <w:t xml:space="preserve"> </w:t>
      </w:r>
    </w:p>
    <w:p w14:paraId="491ED627" w14:textId="725C0E75" w:rsidR="0004540F" w:rsidRDefault="0004540F" w:rsidP="0004540F">
      <w:pPr>
        <w:spacing w:after="0"/>
      </w:pPr>
      <w:r w:rsidRPr="0004540F">
        <w:rPr>
          <w:b/>
        </w:rPr>
        <w:t xml:space="preserve">Curriculum </w:t>
      </w:r>
      <w:r w:rsidR="008C7E8B" w:rsidRPr="0004540F">
        <w:rPr>
          <w:b/>
        </w:rPr>
        <w:t>Development:</w:t>
      </w:r>
      <w:r w:rsidR="008C7E8B">
        <w:t xml:space="preserve"> </w:t>
      </w:r>
      <w:r w:rsidR="00857967">
        <w:t xml:space="preserve"> </w:t>
      </w:r>
      <w:r>
        <w:t>Specific ways the presentation's content can be incorporated into Curriculum Development – provide 2 sentences of 40 words or less – if not applicable indicate with NA.</w:t>
      </w:r>
      <w:r w:rsidR="00857967">
        <w:t xml:space="preserve"> </w:t>
      </w:r>
    </w:p>
    <w:p w14:paraId="3F0A7780" w14:textId="2BB6C96C" w:rsidR="0004540F" w:rsidRDefault="0004540F" w:rsidP="0004540F">
      <w:pPr>
        <w:spacing w:after="0"/>
      </w:pPr>
      <w:r>
        <w:t xml:space="preserve">  - </w:t>
      </w:r>
      <w:r w:rsidR="00857967">
        <w:t xml:space="preserve"> </w:t>
      </w:r>
      <w:r w:rsidR="00F956B9">
        <w:rPr>
          <w:i/>
        </w:rPr>
        <w:t>NA</w:t>
      </w:r>
      <w:r w:rsidR="00857967">
        <w:t xml:space="preserve"> </w:t>
      </w:r>
    </w:p>
    <w:p w14:paraId="38B75583" w14:textId="1875A8BD" w:rsidR="0004540F" w:rsidRDefault="0004540F" w:rsidP="0004540F">
      <w:pPr>
        <w:spacing w:after="0"/>
      </w:pPr>
      <w:r>
        <w:t xml:space="preserve">  - </w:t>
      </w:r>
      <w:r w:rsidR="00857967">
        <w:t xml:space="preserve"> </w:t>
      </w:r>
      <w:r w:rsidR="00F956B9">
        <w:rPr>
          <w:i/>
        </w:rPr>
        <w:t>NA</w:t>
      </w:r>
      <w:r w:rsidR="00857967">
        <w:t xml:space="preserve"> </w:t>
      </w:r>
    </w:p>
    <w:p w14:paraId="6C584FEA" w14:textId="3B58636E" w:rsidR="0004540F" w:rsidRDefault="0004540F" w:rsidP="0004540F">
      <w:pPr>
        <w:spacing w:after="0"/>
        <w:rPr>
          <w:b/>
        </w:rPr>
      </w:pPr>
      <w:r w:rsidRPr="0004540F">
        <w:rPr>
          <w:b/>
        </w:rPr>
        <w:t>5. Valuable Sources and References:</w:t>
      </w:r>
    </w:p>
    <w:p w14:paraId="12FEAF3C" w14:textId="5DD8C40D" w:rsidR="0004540F" w:rsidRDefault="0004540F" w:rsidP="0004540F">
      <w:pPr>
        <w:spacing w:after="0"/>
      </w:pPr>
      <w:r w:rsidRPr="00CC4D92">
        <w:rPr>
          <w:b/>
        </w:rPr>
        <w:t>Source 1</w:t>
      </w:r>
      <w:r w:rsidR="00D40498">
        <w:rPr>
          <w:b/>
        </w:rPr>
        <w:t>:</w:t>
      </w:r>
      <w:r>
        <w:t xml:space="preserve"> </w:t>
      </w:r>
      <w:r w:rsidR="00857967">
        <w:t xml:space="preserve"> </w:t>
      </w:r>
      <w:r w:rsidR="00571CEE" w:rsidRPr="00571CEE">
        <w:t xml:space="preserve">Littlewood, W. (2009). Process-oriented pedagogy: facilitation, empowerment, or control? </w:t>
      </w:r>
      <w:r w:rsidR="00571CEE" w:rsidRPr="001B08D4">
        <w:rPr>
          <w:i/>
          <w:iCs/>
        </w:rPr>
        <w:t>ELT journal</w:t>
      </w:r>
      <w:r w:rsidR="00571CEE" w:rsidRPr="00571CEE">
        <w:t xml:space="preserve">, 63(3), 246-254. https://doi.org/10.1093/elt/ccn054 </w:t>
      </w:r>
      <w:r w:rsidR="00857967">
        <w:t xml:space="preserve"> </w:t>
      </w:r>
    </w:p>
    <w:p w14:paraId="4F954193" w14:textId="1A4AF0F7" w:rsidR="0004540F" w:rsidRDefault="0004540F" w:rsidP="0004540F">
      <w:pPr>
        <w:spacing w:after="0"/>
      </w:pPr>
      <w:r w:rsidRPr="00CC4D92">
        <w:rPr>
          <w:b/>
        </w:rPr>
        <w:t>Source 2:</w:t>
      </w:r>
      <w:r w:rsidR="00571CEE">
        <w:rPr>
          <w:b/>
        </w:rPr>
        <w:t xml:space="preserve"> </w:t>
      </w:r>
      <w:r w:rsidR="00857967">
        <w:t xml:space="preserve"> </w:t>
      </w:r>
      <w:r w:rsidR="00571CEE" w:rsidRPr="00571CEE">
        <w:rPr>
          <w:iCs/>
        </w:rPr>
        <w:t xml:space="preserve">McClory, S., Read, M., &amp; Labib, A. (2017). Conceptualising the lessons-learned process in project management: Towards a triple-loop learning framework. </w:t>
      </w:r>
      <w:r w:rsidR="00571CEE" w:rsidRPr="001B08D4">
        <w:rPr>
          <w:i/>
        </w:rPr>
        <w:t>International Journal of Project Management</w:t>
      </w:r>
      <w:r w:rsidR="00571CEE" w:rsidRPr="00571CEE">
        <w:rPr>
          <w:iCs/>
        </w:rPr>
        <w:t>, 35(7), 1322-1335.</w:t>
      </w:r>
      <w:r w:rsidR="00857967">
        <w:rPr>
          <w:iCs/>
        </w:rPr>
        <w:t xml:space="preserve"> </w:t>
      </w:r>
    </w:p>
    <w:p w14:paraId="2C0187C2" w14:textId="77777777" w:rsidR="0004540F" w:rsidRDefault="0004540F" w:rsidP="0004540F">
      <w:pPr>
        <w:spacing w:after="0"/>
      </w:pPr>
    </w:p>
    <w:p w14:paraId="51C1F1C5" w14:textId="4BCB8331" w:rsidR="0004540F" w:rsidRDefault="0004540F" w:rsidP="0004540F">
      <w:pPr>
        <w:spacing w:after="0"/>
        <w:rPr>
          <w:b/>
        </w:rPr>
      </w:pPr>
      <w:r w:rsidRPr="0004540F">
        <w:rPr>
          <w:b/>
        </w:rPr>
        <w:t>6. Weakness and Area for Future Research:</w:t>
      </w:r>
    </w:p>
    <w:p w14:paraId="1864F9AC" w14:textId="6504318C" w:rsidR="0004540F" w:rsidRDefault="0004540F" w:rsidP="0004540F">
      <w:pPr>
        <w:spacing w:after="0"/>
      </w:pPr>
      <w:r w:rsidRPr="00CC4D92">
        <w:rPr>
          <w:b/>
        </w:rPr>
        <w:t>Weakness:</w:t>
      </w:r>
      <w:r>
        <w:t xml:space="preserve"> </w:t>
      </w:r>
      <w:r w:rsidR="00857967">
        <w:t xml:space="preserve"> </w:t>
      </w:r>
      <w:r w:rsidR="00571CEE">
        <w:t>Given the unit had a clear and safe policy for allowing GenAI usage,</w:t>
      </w:r>
      <w:r w:rsidR="00571CEE" w:rsidRPr="00571CEE">
        <w:rPr>
          <w:iCs/>
        </w:rPr>
        <w:t xml:space="preserve"> reliance on self-declared AI usage may introduce reporting bias</w:t>
      </w:r>
      <w:r w:rsidR="00571CEE">
        <w:rPr>
          <w:iCs/>
        </w:rPr>
        <w:t xml:space="preserve">; </w:t>
      </w:r>
      <w:r w:rsidR="00571CEE" w:rsidRPr="00571CEE">
        <w:rPr>
          <w:iCs/>
        </w:rPr>
        <w:t xml:space="preserve">and </w:t>
      </w:r>
      <w:r w:rsidR="00571CEE">
        <w:rPr>
          <w:iCs/>
        </w:rPr>
        <w:t>the study</w:t>
      </w:r>
      <w:r w:rsidR="00571CEE" w:rsidRPr="00571CEE">
        <w:rPr>
          <w:iCs/>
        </w:rPr>
        <w:t xml:space="preserve"> focus</w:t>
      </w:r>
      <w:r w:rsidR="00571CEE">
        <w:rPr>
          <w:iCs/>
        </w:rPr>
        <w:t>es</w:t>
      </w:r>
      <w:r w:rsidR="00571CEE" w:rsidRPr="00571CEE">
        <w:rPr>
          <w:iCs/>
        </w:rPr>
        <w:t xml:space="preserve"> on a single first-year marketing unit</w:t>
      </w:r>
      <w:r w:rsidR="00571CEE">
        <w:rPr>
          <w:iCs/>
        </w:rPr>
        <w:t>, which</w:t>
      </w:r>
      <w:r w:rsidR="00571CEE" w:rsidRPr="00571CEE">
        <w:rPr>
          <w:iCs/>
        </w:rPr>
        <w:t xml:space="preserve"> limits the generalisability across disciplines</w:t>
      </w:r>
      <w:r w:rsidR="00571CEE">
        <w:rPr>
          <w:iCs/>
        </w:rPr>
        <w:t>.</w:t>
      </w:r>
      <w:r w:rsidR="00857967">
        <w:rPr>
          <w:iCs/>
        </w:rPr>
        <w:t xml:space="preserve"> </w:t>
      </w:r>
    </w:p>
    <w:p w14:paraId="74CAEC8F" w14:textId="735B61F4" w:rsidR="0004540F" w:rsidRDefault="0004540F" w:rsidP="0004540F">
      <w:pPr>
        <w:spacing w:after="0"/>
      </w:pPr>
      <w:r w:rsidRPr="00CC4D92">
        <w:rPr>
          <w:b/>
        </w:rPr>
        <w:lastRenderedPageBreak/>
        <w:t xml:space="preserve">Future </w:t>
      </w:r>
      <w:r w:rsidR="00D40498" w:rsidRPr="00CC4D92">
        <w:rPr>
          <w:b/>
        </w:rPr>
        <w:t>Research:</w:t>
      </w:r>
      <w:r w:rsidR="00D40498">
        <w:t xml:space="preserve"> </w:t>
      </w:r>
      <w:r w:rsidR="00857967">
        <w:t xml:space="preserve"> </w:t>
      </w:r>
      <w:r w:rsidR="00571CEE" w:rsidRPr="00571CEE">
        <w:rPr>
          <w:iCs/>
        </w:rPr>
        <w:t xml:space="preserve">Future studies could examine the truthfulness in students' declarations about their AI usage </w:t>
      </w:r>
      <w:proofErr w:type="gramStart"/>
      <w:r w:rsidR="00571CEE" w:rsidRPr="00571CEE">
        <w:rPr>
          <w:iCs/>
        </w:rPr>
        <w:t>and also</w:t>
      </w:r>
      <w:proofErr w:type="gramEnd"/>
      <w:r w:rsidR="00571CEE" w:rsidRPr="00571CEE">
        <w:rPr>
          <w:iCs/>
        </w:rPr>
        <w:t xml:space="preserve"> examine the impact of GenAI on types of assessments other than essay-based assessments.</w:t>
      </w:r>
      <w:r w:rsidR="00857967">
        <w:rPr>
          <w:iCs/>
        </w:rPr>
        <w:t xml:space="preserve"> </w:t>
      </w:r>
    </w:p>
    <w:p w14:paraId="27E2292E" w14:textId="77777777" w:rsidR="00797C68" w:rsidRDefault="00797C68" w:rsidP="0004540F">
      <w:pPr>
        <w:spacing w:after="0"/>
      </w:pPr>
    </w:p>
    <w:sectPr w:rsidR="00797C6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A81A" w14:textId="77777777" w:rsidR="007C4BBE" w:rsidRDefault="007C4BBE" w:rsidP="00342DC1">
      <w:pPr>
        <w:spacing w:after="0" w:line="240" w:lineRule="auto"/>
      </w:pPr>
      <w:r>
        <w:separator/>
      </w:r>
    </w:p>
  </w:endnote>
  <w:endnote w:type="continuationSeparator" w:id="0">
    <w:p w14:paraId="6ECC04E9" w14:textId="77777777" w:rsidR="007C4BBE" w:rsidRDefault="007C4BBE" w:rsidP="0034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32E7" w14:textId="0ED1AF10" w:rsidR="00342DC1" w:rsidRPr="00D40498" w:rsidRDefault="00D40498">
    <w:pPr>
      <w:pStyle w:val="Footer"/>
      <w:rPr>
        <w:sz w:val="18"/>
        <w:szCs w:val="18"/>
      </w:rPr>
    </w:pPr>
    <w:r w:rsidRPr="00D40498">
      <w:rPr>
        <w:sz w:val="18"/>
        <w:szCs w:val="18"/>
      </w:rPr>
      <w:t>Presentation Synopsis for L&amp;T Symposium 2024</w:t>
    </w:r>
    <w:r w:rsidR="008C7E8B">
      <w:rPr>
        <w:sz w:val="18"/>
        <w:szCs w:val="18"/>
      </w:rPr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433C" w14:textId="77777777" w:rsidR="007C4BBE" w:rsidRDefault="007C4BBE" w:rsidP="00342DC1">
      <w:pPr>
        <w:spacing w:after="0" w:line="240" w:lineRule="auto"/>
      </w:pPr>
      <w:r>
        <w:separator/>
      </w:r>
    </w:p>
  </w:footnote>
  <w:footnote w:type="continuationSeparator" w:id="0">
    <w:p w14:paraId="3D315A90" w14:textId="77777777" w:rsidR="007C4BBE" w:rsidRDefault="007C4BBE" w:rsidP="00342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BA"/>
    <w:rsid w:val="0004540F"/>
    <w:rsid w:val="0019301F"/>
    <w:rsid w:val="001B08D4"/>
    <w:rsid w:val="001D16BA"/>
    <w:rsid w:val="00227CE8"/>
    <w:rsid w:val="002E35D3"/>
    <w:rsid w:val="00342DC1"/>
    <w:rsid w:val="004356B9"/>
    <w:rsid w:val="00571CEE"/>
    <w:rsid w:val="00721074"/>
    <w:rsid w:val="00797C68"/>
    <w:rsid w:val="007C4BBE"/>
    <w:rsid w:val="00857967"/>
    <w:rsid w:val="008A4358"/>
    <w:rsid w:val="008C7E8B"/>
    <w:rsid w:val="00934B84"/>
    <w:rsid w:val="00977051"/>
    <w:rsid w:val="00AE1CD9"/>
    <w:rsid w:val="00BB4FCA"/>
    <w:rsid w:val="00BE6701"/>
    <w:rsid w:val="00CA54E4"/>
    <w:rsid w:val="00CC4D92"/>
    <w:rsid w:val="00D40498"/>
    <w:rsid w:val="00D806D3"/>
    <w:rsid w:val="00F61284"/>
    <w:rsid w:val="00F9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4FE2C"/>
  <w15:chartTrackingRefBased/>
  <w15:docId w15:val="{44E6285D-000C-4626-98AC-83AC2C48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4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D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D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DC1"/>
  </w:style>
  <w:style w:type="paragraph" w:styleId="Footer">
    <w:name w:val="footer"/>
    <w:basedOn w:val="Normal"/>
    <w:link w:val="FooterChar"/>
    <w:uiPriority w:val="99"/>
    <w:unhideWhenUsed/>
    <w:rsid w:val="0034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Matthews</dc:creator>
  <cp:keywords/>
  <dc:description/>
  <cp:lastModifiedBy>Kashmira Dave</cp:lastModifiedBy>
  <cp:revision>5</cp:revision>
  <dcterms:created xsi:type="dcterms:W3CDTF">2025-10-01T13:14:00Z</dcterms:created>
  <dcterms:modified xsi:type="dcterms:W3CDTF">2025-10-03T00:29:00Z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4a6825a6-bf55-4bdd-b10a-da7623974583</vt:lpwstr>
  </property>
</Properties>
</file>