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9DDE" w14:textId="6EB0DDD1" w:rsidR="00EF0D6A" w:rsidRPr="009106F3" w:rsidRDefault="00CC4D92" w:rsidP="009106F3">
      <w:pPr>
        <w:tabs>
          <w:tab w:val="left" w:pos="3686"/>
        </w:tabs>
        <w:spacing w:after="0" w:line="240" w:lineRule="auto"/>
        <w:jc w:val="both"/>
        <w:rPr>
          <w:b/>
          <w:bCs/>
          <w:sz w:val="24"/>
          <w:szCs w:val="24"/>
        </w:rPr>
      </w:pPr>
      <w:r w:rsidRPr="009106F3">
        <w:rPr>
          <w:b/>
          <w:sz w:val="24"/>
          <w:szCs w:val="24"/>
        </w:rPr>
        <w:t>UNE</w:t>
      </w:r>
      <w:r w:rsidR="00D806D3" w:rsidRPr="009106F3">
        <w:rPr>
          <w:b/>
          <w:sz w:val="24"/>
          <w:szCs w:val="24"/>
        </w:rPr>
        <w:t xml:space="preserve"> L&amp;T</w:t>
      </w:r>
      <w:r w:rsidRPr="009106F3">
        <w:rPr>
          <w:b/>
          <w:sz w:val="24"/>
          <w:szCs w:val="24"/>
        </w:rPr>
        <w:t xml:space="preserve"> </w:t>
      </w:r>
      <w:r w:rsidR="00D806D3" w:rsidRPr="009106F3">
        <w:rPr>
          <w:b/>
          <w:sz w:val="24"/>
          <w:szCs w:val="24"/>
        </w:rPr>
        <w:t>Symposium 202</w:t>
      </w:r>
      <w:r w:rsidR="00D91508" w:rsidRPr="009106F3">
        <w:rPr>
          <w:b/>
          <w:sz w:val="24"/>
          <w:szCs w:val="24"/>
        </w:rPr>
        <w:t>6</w:t>
      </w:r>
      <w:r w:rsidR="00D40498" w:rsidRPr="009106F3">
        <w:rPr>
          <w:b/>
          <w:sz w:val="24"/>
          <w:szCs w:val="24"/>
        </w:rPr>
        <w:t xml:space="preserve"> – Presentation </w:t>
      </w:r>
      <w:proofErr w:type="gramStart"/>
      <w:r w:rsidR="00D40498" w:rsidRPr="009106F3">
        <w:rPr>
          <w:b/>
          <w:sz w:val="24"/>
          <w:szCs w:val="24"/>
        </w:rPr>
        <w:t>Synopsis</w:t>
      </w:r>
      <w:r w:rsidR="0045546D" w:rsidRPr="009106F3">
        <w:rPr>
          <w:b/>
          <w:sz w:val="24"/>
          <w:szCs w:val="24"/>
        </w:rPr>
        <w:t xml:space="preserve"> :</w:t>
      </w:r>
      <w:proofErr w:type="gramEnd"/>
      <w:r w:rsidR="0045546D" w:rsidRPr="009106F3">
        <w:rPr>
          <w:b/>
          <w:sz w:val="24"/>
          <w:szCs w:val="24"/>
        </w:rPr>
        <w:t xml:space="preserve"> </w:t>
      </w:r>
      <w:r w:rsidR="00EF0D6A" w:rsidRPr="009106F3">
        <w:rPr>
          <w:b/>
          <w:bCs/>
          <w:sz w:val="24"/>
          <w:szCs w:val="24"/>
        </w:rPr>
        <w:t>An Equity-Minded Framework for Relationship-Rich STEM Support for</w:t>
      </w:r>
      <w:r w:rsidR="00EF0D6A" w:rsidRPr="009106F3">
        <w:rPr>
          <w:b/>
          <w:bCs/>
          <w:sz w:val="24"/>
          <w:szCs w:val="24"/>
          <w:lang w:val="en-US"/>
        </w:rPr>
        <w:t xml:space="preserve"> Digitally Dominant Universities</w:t>
      </w:r>
    </w:p>
    <w:p w14:paraId="7C76375F" w14:textId="377B5D0C" w:rsidR="009106F3" w:rsidRPr="009106F3" w:rsidRDefault="009106F3" w:rsidP="009106F3">
      <w:pPr>
        <w:spacing w:after="0" w:line="240" w:lineRule="auto"/>
        <w:jc w:val="both"/>
      </w:pPr>
      <w:r>
        <w:t>A</w:t>
      </w:r>
      <w:r w:rsidRPr="009106F3">
        <w:t>drienne Burns¹ &amp; Sophie Collins²</w:t>
      </w:r>
    </w:p>
    <w:p w14:paraId="5E37444D" w14:textId="77777777" w:rsidR="009106F3" w:rsidRPr="009106F3" w:rsidRDefault="009106F3" w:rsidP="009106F3">
      <w:pPr>
        <w:numPr>
          <w:ilvl w:val="0"/>
          <w:numId w:val="8"/>
        </w:numPr>
        <w:spacing w:after="0" w:line="240" w:lineRule="auto"/>
        <w:jc w:val="both"/>
      </w:pPr>
      <w:r w:rsidRPr="009106F3">
        <w:t>School of ERS, SABL: Leader of Learning – Science Learning Hub</w:t>
      </w:r>
    </w:p>
    <w:p w14:paraId="09442381" w14:textId="77777777" w:rsidR="009106F3" w:rsidRPr="009106F3" w:rsidRDefault="009106F3" w:rsidP="009106F3">
      <w:pPr>
        <w:numPr>
          <w:ilvl w:val="0"/>
          <w:numId w:val="8"/>
        </w:numPr>
        <w:spacing w:after="0" w:line="240" w:lineRule="auto"/>
        <w:jc w:val="both"/>
      </w:pPr>
      <w:r w:rsidRPr="009106F3">
        <w:t>School of S&amp;T, SABL: Lead of Data Analytics – Science Learning Hub</w:t>
      </w:r>
    </w:p>
    <w:p w14:paraId="21A9D38C" w14:textId="77777777" w:rsidR="009106F3" w:rsidRDefault="009106F3" w:rsidP="009106F3">
      <w:pPr>
        <w:spacing w:after="0" w:line="240" w:lineRule="auto"/>
        <w:jc w:val="both"/>
        <w:rPr>
          <w:b/>
          <w:bCs/>
        </w:rPr>
      </w:pPr>
    </w:p>
    <w:p w14:paraId="68F85621" w14:textId="12AD6935" w:rsidR="009106F3" w:rsidRPr="009106F3" w:rsidRDefault="009106F3" w:rsidP="009106F3">
      <w:pPr>
        <w:spacing w:after="0" w:line="240" w:lineRule="auto"/>
        <w:jc w:val="both"/>
      </w:pPr>
      <w:r w:rsidRPr="009106F3">
        <w:rPr>
          <w:b/>
          <w:bCs/>
        </w:rPr>
        <w:t>Main Takeaways:</w:t>
      </w:r>
    </w:p>
    <w:p w14:paraId="1A0D124C" w14:textId="77777777" w:rsidR="009106F3" w:rsidRPr="009106F3" w:rsidRDefault="009106F3" w:rsidP="009106F3">
      <w:pPr>
        <w:spacing w:after="0" w:line="240" w:lineRule="auto"/>
        <w:jc w:val="both"/>
      </w:pPr>
      <w:proofErr w:type="spellStart"/>
      <w:r w:rsidRPr="009106F3">
        <w:t>SciLHub</w:t>
      </w:r>
      <w:proofErr w:type="spellEnd"/>
      <w:r w:rsidRPr="009106F3">
        <w:t xml:space="preserve"> students achieved 84% pass rates versus 54% for non-participants (across 70 units over three years), with grade improvements of 8–10 percentage points and 45–93% higher re-enrolment likelihood, demonstrating measurable equity impact at scale. Relationship-rich, online-first tutoring grounded in equity-centred design and dialogic pedagogy effectively supports diverse, non-traditional STEM cohorts in digitally dominant regional universities, offering a replicable institutional model.</w:t>
      </w:r>
    </w:p>
    <w:p w14:paraId="109385FA" w14:textId="77777777" w:rsidR="009106F3" w:rsidRPr="009106F3" w:rsidRDefault="009106F3" w:rsidP="009106F3">
      <w:pPr>
        <w:spacing w:after="0" w:line="240" w:lineRule="auto"/>
        <w:jc w:val="both"/>
      </w:pPr>
      <w:r w:rsidRPr="009106F3">
        <w:rPr>
          <w:b/>
          <w:bCs/>
        </w:rPr>
        <w:t>Application in Educational Contexts:</w:t>
      </w:r>
    </w:p>
    <w:p w14:paraId="068773A9" w14:textId="77777777" w:rsidR="009106F3" w:rsidRPr="009106F3" w:rsidRDefault="009106F3" w:rsidP="009106F3">
      <w:pPr>
        <w:spacing w:after="0" w:line="240" w:lineRule="auto"/>
        <w:jc w:val="both"/>
      </w:pPr>
      <w:r w:rsidRPr="009106F3">
        <w:rPr>
          <w:b/>
          <w:bCs/>
        </w:rPr>
        <w:t>Teaching Methods:</w:t>
      </w:r>
    </w:p>
    <w:p w14:paraId="156CC87A" w14:textId="77777777" w:rsidR="009106F3" w:rsidRPr="009106F3" w:rsidRDefault="009106F3" w:rsidP="009106F3">
      <w:pPr>
        <w:spacing w:after="0" w:line="240" w:lineRule="auto"/>
        <w:jc w:val="both"/>
      </w:pPr>
      <w:r w:rsidRPr="009106F3">
        <w:t>Academic support programs can embed book-in, bespoke tutoring using dialogic and cognitive apprenticeship approaches, making expert thinking visible and scaffolding student understanding through adaptive, conversational feedback cycles. Tutors trained in feedback literacy and purposeful questioning can concentrate high-judgement teaching interactions that are difficult to replicate through asynchronous or automated delivery systems.</w:t>
      </w:r>
    </w:p>
    <w:p w14:paraId="0953BF00" w14:textId="77777777" w:rsidR="009106F3" w:rsidRPr="009106F3" w:rsidRDefault="009106F3" w:rsidP="009106F3">
      <w:pPr>
        <w:spacing w:after="0" w:line="240" w:lineRule="auto"/>
        <w:jc w:val="both"/>
      </w:pPr>
      <w:r w:rsidRPr="009106F3">
        <w:rPr>
          <w:b/>
          <w:bCs/>
        </w:rPr>
        <w:t>Assessment:</w:t>
      </w:r>
    </w:p>
    <w:p w14:paraId="6CD30BD5" w14:textId="5E390750" w:rsidR="009106F3" w:rsidRPr="009106F3" w:rsidRDefault="009106F3" w:rsidP="009106F3">
      <w:pPr>
        <w:spacing w:after="0" w:line="240" w:lineRule="auto"/>
        <w:jc w:val="both"/>
      </w:pPr>
      <w:r>
        <w:t>B</w:t>
      </w:r>
      <w:r w:rsidRPr="009106F3">
        <w:t>ooking data, session frequency, and discipline-level engagement patterns provide a robust framework for continuously assessing program reach, equity of access, and demand alignment across diverse STEM cohorts. Learning analytics, including pass rates, grade distributions, and subsequent re-enrolment data, enable ongoing evidence-based assessment of program effectiveness, linking tutoring participation directly to measurable student learning and retention outcomes.</w:t>
      </w:r>
    </w:p>
    <w:p w14:paraId="7779EA5A" w14:textId="77777777" w:rsidR="009106F3" w:rsidRPr="009106F3" w:rsidRDefault="009106F3" w:rsidP="009106F3">
      <w:pPr>
        <w:spacing w:after="0" w:line="240" w:lineRule="auto"/>
        <w:jc w:val="both"/>
      </w:pPr>
      <w:r w:rsidRPr="009106F3">
        <w:rPr>
          <w:b/>
          <w:bCs/>
        </w:rPr>
        <w:t>Student Engagement:</w:t>
      </w:r>
    </w:p>
    <w:p w14:paraId="1B208831" w14:textId="256F3381" w:rsidR="009106F3" w:rsidRPr="009106F3" w:rsidRDefault="009106F3" w:rsidP="009106F3">
      <w:pPr>
        <w:spacing w:after="0" w:line="240" w:lineRule="auto"/>
        <w:jc w:val="both"/>
      </w:pPr>
      <w:r w:rsidRPr="009106F3">
        <w:t>Flexible online scheduling and booking remove structural barriers for working, ca</w:t>
      </w:r>
      <w:r>
        <w:t>rer</w:t>
      </w:r>
      <w:r w:rsidRPr="009106F3">
        <w:t>, and geographically dispersed students, broadening participation across diverse cohorts. Tutors bridge expertise and approachability, fostering psychological safety and science identity development, particularly for students from diverse backgrounds who may otherwise disengage.</w:t>
      </w:r>
    </w:p>
    <w:p w14:paraId="4A157F44" w14:textId="77777777" w:rsidR="009106F3" w:rsidRPr="009106F3" w:rsidRDefault="009106F3" w:rsidP="009106F3">
      <w:pPr>
        <w:spacing w:after="0" w:line="240" w:lineRule="auto"/>
        <w:jc w:val="both"/>
      </w:pPr>
      <w:r w:rsidRPr="009106F3">
        <w:rPr>
          <w:b/>
          <w:bCs/>
        </w:rPr>
        <w:t>Curriculum Development:</w:t>
      </w:r>
    </w:p>
    <w:p w14:paraId="35C027C6" w14:textId="77777777" w:rsidR="009106F3" w:rsidRPr="009106F3" w:rsidRDefault="009106F3" w:rsidP="009106F3">
      <w:pPr>
        <w:spacing w:after="0" w:line="240" w:lineRule="auto"/>
        <w:jc w:val="both"/>
      </w:pPr>
      <w:r w:rsidRPr="009106F3">
        <w:t>Embedding tutoring support within first- and second-year STEM units, aligned to threshold concepts and foundational knowledge, ensures academic support is integrated into curriculum design rather than treated as a remedial measure.</w:t>
      </w:r>
    </w:p>
    <w:p w14:paraId="71DF146D" w14:textId="77777777" w:rsidR="009106F3" w:rsidRPr="009106F3" w:rsidRDefault="009106F3" w:rsidP="009106F3">
      <w:pPr>
        <w:spacing w:after="0" w:line="240" w:lineRule="auto"/>
        <w:jc w:val="both"/>
      </w:pPr>
      <w:r w:rsidRPr="009106F3">
        <w:rPr>
          <w:b/>
          <w:bCs/>
        </w:rPr>
        <w:t>Valuable Sources and References:</w:t>
      </w:r>
    </w:p>
    <w:p w14:paraId="161F97B4" w14:textId="77777777" w:rsidR="009106F3" w:rsidRPr="009106F3" w:rsidRDefault="009106F3" w:rsidP="009106F3">
      <w:pPr>
        <w:spacing w:after="0" w:line="240" w:lineRule="auto"/>
        <w:jc w:val="both"/>
      </w:pPr>
      <w:r w:rsidRPr="009106F3">
        <w:t xml:space="preserve">Felten, P., &amp; Lambert, L. (2020). </w:t>
      </w:r>
      <w:r w:rsidRPr="009106F3">
        <w:rPr>
          <w:i/>
          <w:iCs/>
        </w:rPr>
        <w:t>Relationship-rich education.</w:t>
      </w:r>
      <w:r w:rsidRPr="009106F3">
        <w:t xml:space="preserve"> Johns Hopkins University Press.</w:t>
      </w:r>
    </w:p>
    <w:p w14:paraId="550BA2D7" w14:textId="77777777" w:rsidR="009106F3" w:rsidRPr="009106F3" w:rsidRDefault="009106F3" w:rsidP="009106F3">
      <w:pPr>
        <w:spacing w:after="0" w:line="240" w:lineRule="auto"/>
        <w:jc w:val="both"/>
      </w:pPr>
      <w:r w:rsidRPr="009106F3">
        <w:t xml:space="preserve">Stone, C., &amp; O'Shea, S. (Eds.). (2024). </w:t>
      </w:r>
      <w:r w:rsidRPr="009106F3">
        <w:rPr>
          <w:i/>
          <w:iCs/>
        </w:rPr>
        <w:t>Research handbook on student engagement in higher education.</w:t>
      </w:r>
      <w:r w:rsidRPr="009106F3">
        <w:t xml:space="preserve"> Edward Elgar.</w:t>
      </w:r>
    </w:p>
    <w:p w14:paraId="66D808D1" w14:textId="77777777" w:rsidR="009106F3" w:rsidRPr="009106F3" w:rsidRDefault="009106F3" w:rsidP="009106F3">
      <w:pPr>
        <w:spacing w:after="0" w:line="240" w:lineRule="auto"/>
        <w:jc w:val="both"/>
      </w:pPr>
      <w:r w:rsidRPr="009106F3">
        <w:rPr>
          <w:b/>
          <w:bCs/>
        </w:rPr>
        <w:t>Weakness and Area for Future Research:</w:t>
      </w:r>
    </w:p>
    <w:p w14:paraId="08D71BF0" w14:textId="0B256BAB" w:rsidR="009106F3" w:rsidRPr="009106F3" w:rsidRDefault="009106F3" w:rsidP="009106F3">
      <w:pPr>
        <w:spacing w:after="0" w:line="240" w:lineRule="auto"/>
        <w:jc w:val="both"/>
      </w:pPr>
      <w:r w:rsidRPr="009106F3">
        <w:t xml:space="preserve">Despite strong outcomes overall, on-campus school-leaver students consistently underutilised </w:t>
      </w:r>
      <w:proofErr w:type="spellStart"/>
      <w:r w:rsidRPr="009106F3">
        <w:t>SciLHub</w:t>
      </w:r>
      <w:proofErr w:type="spellEnd"/>
      <w:r w:rsidRPr="009106F3">
        <w:t>, engaging primarily around assessment deadlines rather than developmentally, suggesting the model does not yet fully address autonomy-driven, low-relatedness help-seeking behaviours.</w:t>
      </w:r>
    </w:p>
    <w:p w14:paraId="3F5769C7" w14:textId="25127C6D" w:rsidR="009106F3" w:rsidRPr="009106F3" w:rsidRDefault="009106F3" w:rsidP="009106F3">
      <w:pPr>
        <w:spacing w:after="0" w:line="240" w:lineRule="auto"/>
        <w:jc w:val="both"/>
      </w:pPr>
      <w:r w:rsidRPr="009106F3">
        <w:t>Future research should investigate targeted strategies to cultivate relatedness-rich, collaborative contexts for Generation Z learners, exploring whether adapted outreach and embedded peer-collaborative activities can shift engagement patterns toward earlier, more sustained participation.</w:t>
      </w:r>
    </w:p>
    <w:p w14:paraId="74CAEC8F" w14:textId="29AADC67" w:rsidR="0004540F" w:rsidRPr="008B52A0" w:rsidRDefault="0004540F" w:rsidP="009106F3">
      <w:pPr>
        <w:spacing w:after="0" w:line="240" w:lineRule="auto"/>
        <w:jc w:val="both"/>
      </w:pPr>
    </w:p>
    <w:sectPr w:rsidR="0004540F" w:rsidRPr="008B52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3710" w14:textId="77777777" w:rsidR="00684026" w:rsidRDefault="00684026" w:rsidP="00342DC1">
      <w:pPr>
        <w:spacing w:after="0" w:line="240" w:lineRule="auto"/>
      </w:pPr>
      <w:r>
        <w:separator/>
      </w:r>
    </w:p>
  </w:endnote>
  <w:endnote w:type="continuationSeparator" w:id="0">
    <w:p w14:paraId="7CEE7E83" w14:textId="77777777" w:rsidR="00684026" w:rsidRDefault="00684026" w:rsidP="0034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5781" w14:textId="77777777" w:rsidR="00B1703A" w:rsidRDefault="00B17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32E7" w14:textId="1885FEE5" w:rsidR="00342DC1" w:rsidRPr="00D40498" w:rsidRDefault="00D40498">
    <w:pPr>
      <w:pStyle w:val="Footer"/>
      <w:rPr>
        <w:sz w:val="18"/>
        <w:szCs w:val="18"/>
      </w:rPr>
    </w:pPr>
    <w:r w:rsidRPr="00D40498">
      <w:rPr>
        <w:sz w:val="18"/>
        <w:szCs w:val="18"/>
      </w:rPr>
      <w:t>Presentation Synopsis for L&amp;T Symposium 202</w:t>
    </w:r>
    <w:r w:rsidR="00B1703A">
      <w:rPr>
        <w:sz w:val="18"/>
        <w:szCs w:val="18"/>
      </w:rPr>
      <w:t>6</w:t>
    </w:r>
    <w:r w:rsidR="008C7E8B">
      <w:rPr>
        <w:sz w:val="18"/>
        <w:szCs w:val="18"/>
      </w:rPr>
      <w:t xml:space="preserve">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D9C6" w14:textId="77777777" w:rsidR="00B1703A" w:rsidRDefault="00B17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66E5" w14:textId="77777777" w:rsidR="00684026" w:rsidRDefault="00684026" w:rsidP="00342DC1">
      <w:pPr>
        <w:spacing w:after="0" w:line="240" w:lineRule="auto"/>
      </w:pPr>
      <w:r>
        <w:separator/>
      </w:r>
    </w:p>
  </w:footnote>
  <w:footnote w:type="continuationSeparator" w:id="0">
    <w:p w14:paraId="7725A4D4" w14:textId="77777777" w:rsidR="00684026" w:rsidRDefault="00684026" w:rsidP="0034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BDB" w14:textId="77777777" w:rsidR="00B1703A" w:rsidRDefault="00B17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D7B0" w14:textId="77777777" w:rsidR="00B1703A" w:rsidRDefault="00B17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AEC9" w14:textId="77777777" w:rsidR="00B1703A" w:rsidRDefault="00B17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7D2"/>
    <w:multiLevelType w:val="hybridMultilevel"/>
    <w:tmpl w:val="F894D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AE2897"/>
    <w:multiLevelType w:val="hybridMultilevel"/>
    <w:tmpl w:val="A3662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1C486A"/>
    <w:multiLevelType w:val="hybridMultilevel"/>
    <w:tmpl w:val="5CF8F0E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D101DBC"/>
    <w:multiLevelType w:val="hybridMultilevel"/>
    <w:tmpl w:val="2FAEA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DF5C10"/>
    <w:multiLevelType w:val="hybridMultilevel"/>
    <w:tmpl w:val="4420D5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1902DD5"/>
    <w:multiLevelType w:val="multilevel"/>
    <w:tmpl w:val="0FC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C07778"/>
    <w:multiLevelType w:val="hybridMultilevel"/>
    <w:tmpl w:val="20BE8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DE7527"/>
    <w:multiLevelType w:val="hybridMultilevel"/>
    <w:tmpl w:val="34D088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78661021">
    <w:abstractNumId w:val="3"/>
  </w:num>
  <w:num w:numId="2" w16cid:durableId="396636838">
    <w:abstractNumId w:val="4"/>
  </w:num>
  <w:num w:numId="3" w16cid:durableId="1501892572">
    <w:abstractNumId w:val="1"/>
  </w:num>
  <w:num w:numId="4" w16cid:durableId="608440137">
    <w:abstractNumId w:val="0"/>
  </w:num>
  <w:num w:numId="5" w16cid:durableId="151145102">
    <w:abstractNumId w:val="6"/>
  </w:num>
  <w:num w:numId="6" w16cid:durableId="1321272208">
    <w:abstractNumId w:val="7"/>
  </w:num>
  <w:num w:numId="7" w16cid:durableId="1195969150">
    <w:abstractNumId w:val="2"/>
  </w:num>
  <w:num w:numId="8" w16cid:durableId="69897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BA"/>
    <w:rsid w:val="000049BF"/>
    <w:rsid w:val="0002014F"/>
    <w:rsid w:val="0004540F"/>
    <w:rsid w:val="00094B6B"/>
    <w:rsid w:val="000C465E"/>
    <w:rsid w:val="001D16BA"/>
    <w:rsid w:val="00342DC1"/>
    <w:rsid w:val="0045546D"/>
    <w:rsid w:val="00684026"/>
    <w:rsid w:val="00721074"/>
    <w:rsid w:val="0078636A"/>
    <w:rsid w:val="00797C68"/>
    <w:rsid w:val="007F1913"/>
    <w:rsid w:val="0086656E"/>
    <w:rsid w:val="008A4358"/>
    <w:rsid w:val="008B365E"/>
    <w:rsid w:val="008B52A0"/>
    <w:rsid w:val="008B58C7"/>
    <w:rsid w:val="008C7E8B"/>
    <w:rsid w:val="009106F3"/>
    <w:rsid w:val="00934B84"/>
    <w:rsid w:val="00977051"/>
    <w:rsid w:val="00AC432A"/>
    <w:rsid w:val="00B1703A"/>
    <w:rsid w:val="00B734A7"/>
    <w:rsid w:val="00BB4FCA"/>
    <w:rsid w:val="00C20EAB"/>
    <w:rsid w:val="00CA54E4"/>
    <w:rsid w:val="00CB52AE"/>
    <w:rsid w:val="00CC4D92"/>
    <w:rsid w:val="00CD1B8A"/>
    <w:rsid w:val="00D40498"/>
    <w:rsid w:val="00D806D3"/>
    <w:rsid w:val="00D91508"/>
    <w:rsid w:val="00EF0D6A"/>
    <w:rsid w:val="00F61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FE2C"/>
  <w15:chartTrackingRefBased/>
  <w15:docId w15:val="{44E6285D-000C-4626-98AC-83AC2C4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4D92"/>
    <w:rPr>
      <w:sz w:val="16"/>
      <w:szCs w:val="16"/>
    </w:rPr>
  </w:style>
  <w:style w:type="paragraph" w:styleId="CommentText">
    <w:name w:val="annotation text"/>
    <w:basedOn w:val="Normal"/>
    <w:link w:val="CommentTextChar"/>
    <w:uiPriority w:val="99"/>
    <w:semiHidden/>
    <w:unhideWhenUsed/>
    <w:rsid w:val="00CC4D92"/>
    <w:pPr>
      <w:spacing w:line="240" w:lineRule="auto"/>
    </w:pPr>
    <w:rPr>
      <w:sz w:val="20"/>
      <w:szCs w:val="20"/>
    </w:rPr>
  </w:style>
  <w:style w:type="character" w:customStyle="1" w:styleId="CommentTextChar">
    <w:name w:val="Comment Text Char"/>
    <w:basedOn w:val="DefaultParagraphFont"/>
    <w:link w:val="CommentText"/>
    <w:uiPriority w:val="99"/>
    <w:semiHidden/>
    <w:rsid w:val="00CC4D92"/>
    <w:rPr>
      <w:sz w:val="20"/>
      <w:szCs w:val="20"/>
    </w:rPr>
  </w:style>
  <w:style w:type="paragraph" w:styleId="CommentSubject">
    <w:name w:val="annotation subject"/>
    <w:basedOn w:val="CommentText"/>
    <w:next w:val="CommentText"/>
    <w:link w:val="CommentSubjectChar"/>
    <w:uiPriority w:val="99"/>
    <w:semiHidden/>
    <w:unhideWhenUsed/>
    <w:rsid w:val="00CC4D92"/>
    <w:rPr>
      <w:b/>
      <w:bCs/>
    </w:rPr>
  </w:style>
  <w:style w:type="character" w:customStyle="1" w:styleId="CommentSubjectChar">
    <w:name w:val="Comment Subject Char"/>
    <w:basedOn w:val="CommentTextChar"/>
    <w:link w:val="CommentSubject"/>
    <w:uiPriority w:val="99"/>
    <w:semiHidden/>
    <w:rsid w:val="00CC4D92"/>
    <w:rPr>
      <w:b/>
      <w:bCs/>
      <w:sz w:val="20"/>
      <w:szCs w:val="20"/>
    </w:rPr>
  </w:style>
  <w:style w:type="paragraph" w:styleId="BalloonText">
    <w:name w:val="Balloon Text"/>
    <w:basedOn w:val="Normal"/>
    <w:link w:val="BalloonTextChar"/>
    <w:uiPriority w:val="99"/>
    <w:semiHidden/>
    <w:unhideWhenUsed/>
    <w:rsid w:val="00CC4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92"/>
    <w:rPr>
      <w:rFonts w:ascii="Segoe UI" w:hAnsi="Segoe UI" w:cs="Segoe UI"/>
      <w:sz w:val="18"/>
      <w:szCs w:val="18"/>
    </w:rPr>
  </w:style>
  <w:style w:type="paragraph" w:styleId="Header">
    <w:name w:val="header"/>
    <w:basedOn w:val="Normal"/>
    <w:link w:val="HeaderChar"/>
    <w:uiPriority w:val="99"/>
    <w:unhideWhenUsed/>
    <w:rsid w:val="0034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C1"/>
  </w:style>
  <w:style w:type="paragraph" w:styleId="Footer">
    <w:name w:val="footer"/>
    <w:basedOn w:val="Normal"/>
    <w:link w:val="FooterChar"/>
    <w:uiPriority w:val="99"/>
    <w:unhideWhenUsed/>
    <w:rsid w:val="0034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C1"/>
  </w:style>
  <w:style w:type="paragraph" w:styleId="ListParagraph">
    <w:name w:val="List Paragraph"/>
    <w:basedOn w:val="Normal"/>
    <w:uiPriority w:val="34"/>
    <w:qFormat/>
    <w:rsid w:val="00EF0D6A"/>
    <w:pPr>
      <w:ind w:left="720"/>
      <w:contextualSpacing/>
    </w:pPr>
  </w:style>
  <w:style w:type="character" w:styleId="Hyperlink">
    <w:name w:val="Hyperlink"/>
    <w:basedOn w:val="DefaultParagraphFont"/>
    <w:uiPriority w:val="99"/>
    <w:unhideWhenUsed/>
    <w:rsid w:val="0045546D"/>
    <w:rPr>
      <w:color w:val="0563C1" w:themeColor="hyperlink"/>
      <w:u w:val="single"/>
    </w:rPr>
  </w:style>
  <w:style w:type="character" w:styleId="UnresolvedMention">
    <w:name w:val="Unresolved Mention"/>
    <w:basedOn w:val="DefaultParagraphFont"/>
    <w:uiPriority w:val="99"/>
    <w:semiHidden/>
    <w:unhideWhenUsed/>
    <w:rsid w:val="0045546D"/>
    <w:rPr>
      <w:color w:val="605E5C"/>
      <w:shd w:val="clear" w:color="auto" w:fill="E1DFDD"/>
    </w:rPr>
  </w:style>
  <w:style w:type="paragraph" w:styleId="Revision">
    <w:name w:val="Revision"/>
    <w:hidden/>
    <w:uiPriority w:val="99"/>
    <w:semiHidden/>
    <w:rsid w:val="000C46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Matthews</dc:creator>
  <cp:keywords/>
  <dc:description/>
  <cp:lastModifiedBy>Adrienne Burns</cp:lastModifiedBy>
  <cp:revision>2</cp:revision>
  <dcterms:created xsi:type="dcterms:W3CDTF">2026-06-29T05:26:00Z</dcterms:created>
  <dcterms:modified xsi:type="dcterms:W3CDTF">2026-06-29T05:26:00Z</dcterms:modified>
</cp:coreProperties>
</file>