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17AB5" w14:textId="77777777" w:rsidR="00120EA9" w:rsidRDefault="00AE430E">
      <w:pPr>
        <w:spacing w:after="60" w:line="240" w:lineRule="auto"/>
        <w:jc w:val="center"/>
      </w:pPr>
      <w:r>
        <w:rPr>
          <w:b/>
          <w:sz w:val="24"/>
        </w:rPr>
        <w:t>UNE L&amp;T Symposium 2026 – Presentation Synopsis</w:t>
      </w:r>
    </w:p>
    <w:p w14:paraId="6EED339D" w14:textId="77777777" w:rsidR="00120EA9" w:rsidRDefault="00AE430E" w:rsidP="006A2542">
      <w:pPr>
        <w:spacing w:before="160" w:after="160" w:line="240" w:lineRule="auto"/>
      </w:pPr>
      <w:r>
        <w:rPr>
          <w:b/>
        </w:rPr>
        <w:t>1. Title of Presentation</w:t>
      </w:r>
    </w:p>
    <w:p w14:paraId="1CE20CC7" w14:textId="77777777" w:rsidR="00120EA9" w:rsidRDefault="00AE430E">
      <w:pPr>
        <w:spacing w:after="40" w:line="240" w:lineRule="auto"/>
      </w:pPr>
      <w:r>
        <w:rPr>
          <w:sz w:val="17"/>
        </w:rPr>
        <w:t>Closing the Feedback Loop: Enhancing Student Learning, Engagement and Inclusion in MM221 through Mid-Term Survey-Informed Teaching Improvements</w:t>
      </w:r>
    </w:p>
    <w:p w14:paraId="2710FE65" w14:textId="77777777" w:rsidR="00120EA9" w:rsidRDefault="00AE430E" w:rsidP="006A2542">
      <w:pPr>
        <w:spacing w:before="160" w:after="160" w:line="240" w:lineRule="auto"/>
      </w:pPr>
      <w:r>
        <w:rPr>
          <w:b/>
        </w:rPr>
        <w:t>2. Presenter(s) Name(s) and Affiliation(s)</w:t>
      </w:r>
    </w:p>
    <w:p w14:paraId="51FC22D6" w14:textId="3F3600EC" w:rsidR="00120EA9" w:rsidRDefault="00AE430E">
      <w:pPr>
        <w:spacing w:after="40" w:line="240" w:lineRule="auto"/>
      </w:pPr>
      <w:r>
        <w:rPr>
          <w:sz w:val="17"/>
        </w:rPr>
        <w:t>Dr Parves Sultan, UNE Business School, University of New England</w:t>
      </w:r>
      <w:r w:rsidR="00CC179F">
        <w:rPr>
          <w:sz w:val="17"/>
        </w:rPr>
        <w:t xml:space="preserve">, Email: </w:t>
      </w:r>
      <w:hyperlink r:id="rId8" w:history="1">
        <w:r w:rsidR="00CC179F" w:rsidRPr="00307F5F">
          <w:rPr>
            <w:rStyle w:val="Hyperlink"/>
            <w:sz w:val="17"/>
          </w:rPr>
          <w:t>parves.sultan@une.edu.au</w:t>
        </w:r>
      </w:hyperlink>
      <w:r w:rsidR="00CC179F">
        <w:rPr>
          <w:sz w:val="17"/>
        </w:rPr>
        <w:t xml:space="preserve"> </w:t>
      </w:r>
    </w:p>
    <w:p w14:paraId="50D143C8" w14:textId="77777777" w:rsidR="00120EA9" w:rsidRDefault="00AE430E" w:rsidP="006A2542">
      <w:pPr>
        <w:spacing w:before="160" w:after="160" w:line="240" w:lineRule="auto"/>
      </w:pPr>
      <w:r>
        <w:rPr>
          <w:b/>
        </w:rPr>
        <w:t>3. Main Takeaways</w:t>
      </w:r>
    </w:p>
    <w:p w14:paraId="072239E9" w14:textId="63553C1E" w:rsidR="00120EA9" w:rsidRDefault="00AE430E" w:rsidP="006A2542">
      <w:pPr>
        <w:spacing w:before="120" w:after="120" w:line="240" w:lineRule="auto"/>
      </w:pPr>
      <w:r>
        <w:rPr>
          <w:b/>
          <w:sz w:val="17"/>
        </w:rPr>
        <w:t xml:space="preserve">Takeaway 1: </w:t>
      </w:r>
      <w:r w:rsidR="00CC179F">
        <w:rPr>
          <w:sz w:val="17"/>
        </w:rPr>
        <w:t>Week 4 survey feedback facilitated the identification of factors that supported MM221 students' learning, including a clear unit structure, lecturer responsiveness, an inclusive climate, and meaningful connections between weekly content and assessments.</w:t>
      </w:r>
    </w:p>
    <w:p w14:paraId="4714427C" w14:textId="59E0B5F0" w:rsidR="00120EA9" w:rsidRDefault="00AE430E" w:rsidP="006A2542">
      <w:pPr>
        <w:spacing w:before="120" w:after="120" w:line="240" w:lineRule="auto"/>
      </w:pPr>
      <w:r>
        <w:rPr>
          <w:b/>
          <w:sz w:val="17"/>
        </w:rPr>
        <w:t xml:space="preserve">Takeaway 2: </w:t>
      </w:r>
      <w:r w:rsidR="00CC179F">
        <w:rPr>
          <w:sz w:val="17"/>
        </w:rPr>
        <w:t xml:space="preserve">Student suggestions were translated into practical improvements in the second half, </w:t>
      </w:r>
      <w:r w:rsidR="007740E8">
        <w:rPr>
          <w:sz w:val="17"/>
        </w:rPr>
        <w:t>including additional visual learning resources, interactive knowledge assessments, clearer guidance for assessments and examinations, and more responsive online support</w:t>
      </w:r>
      <w:r w:rsidR="00CC179F">
        <w:rPr>
          <w:sz w:val="17"/>
        </w:rPr>
        <w:t>.</w:t>
      </w:r>
    </w:p>
    <w:p w14:paraId="6F477AA4" w14:textId="77777777" w:rsidR="00120EA9" w:rsidRDefault="00AE430E" w:rsidP="006A2542">
      <w:pPr>
        <w:spacing w:before="160" w:after="160" w:line="240" w:lineRule="auto"/>
      </w:pPr>
      <w:r>
        <w:rPr>
          <w:b/>
        </w:rPr>
        <w:t>4. Application in Educational Contexts</w:t>
      </w:r>
    </w:p>
    <w:tbl>
      <w:tblPr>
        <w:tblW w:w="0" w:type="auto"/>
        <w:jc w:val="center"/>
        <w:tblLook w:val="04A0" w:firstRow="1" w:lastRow="0" w:firstColumn="1" w:lastColumn="0" w:noHBand="0" w:noVBand="1"/>
      </w:tblPr>
      <w:tblGrid>
        <w:gridCol w:w="2550"/>
        <w:gridCol w:w="8096"/>
      </w:tblGrid>
      <w:tr w:rsidR="00120EA9" w:rsidRPr="006A2542" w14:paraId="7145BFF5" w14:textId="77777777" w:rsidTr="00CC179F">
        <w:trPr>
          <w:tblHeader/>
          <w:jc w:val="center"/>
        </w:trPr>
        <w:tc>
          <w:tcPr>
            <w:tcW w:w="2552" w:type="dxa"/>
            <w:tcBorders>
              <w:top w:val="single" w:sz="4" w:space="0" w:color="A6A6A6"/>
              <w:left w:val="single" w:sz="4" w:space="0" w:color="A6A6A6"/>
              <w:bottom w:val="single" w:sz="4" w:space="0" w:color="A6A6A6"/>
              <w:right w:val="single" w:sz="4" w:space="0" w:color="A6A6A6"/>
            </w:tcBorders>
            <w:shd w:val="clear" w:color="auto" w:fill="D9EAF7"/>
          </w:tcPr>
          <w:p w14:paraId="2438DF7D" w14:textId="77777777" w:rsidR="00120EA9" w:rsidRPr="006A2542" w:rsidRDefault="00AE430E">
            <w:pPr>
              <w:rPr>
                <w:sz w:val="17"/>
                <w:szCs w:val="17"/>
              </w:rPr>
            </w:pPr>
            <w:r w:rsidRPr="006A2542">
              <w:rPr>
                <w:b/>
                <w:sz w:val="17"/>
                <w:szCs w:val="17"/>
              </w:rPr>
              <w:t>Area</w:t>
            </w:r>
          </w:p>
        </w:tc>
        <w:tc>
          <w:tcPr>
            <w:tcW w:w="8104" w:type="dxa"/>
            <w:tcBorders>
              <w:top w:val="single" w:sz="4" w:space="0" w:color="A6A6A6"/>
              <w:left w:val="single" w:sz="4" w:space="0" w:color="A6A6A6"/>
              <w:bottom w:val="single" w:sz="4" w:space="0" w:color="A6A6A6"/>
              <w:right w:val="single" w:sz="4" w:space="0" w:color="A6A6A6"/>
            </w:tcBorders>
            <w:shd w:val="clear" w:color="auto" w:fill="D9EAF7"/>
          </w:tcPr>
          <w:p w14:paraId="34E28644" w14:textId="77777777" w:rsidR="00120EA9" w:rsidRPr="006A2542" w:rsidRDefault="00AE430E">
            <w:pPr>
              <w:rPr>
                <w:sz w:val="17"/>
                <w:szCs w:val="17"/>
              </w:rPr>
            </w:pPr>
            <w:r w:rsidRPr="006A2542">
              <w:rPr>
                <w:b/>
                <w:sz w:val="17"/>
                <w:szCs w:val="17"/>
              </w:rPr>
              <w:t>Practical application</w:t>
            </w:r>
          </w:p>
        </w:tc>
      </w:tr>
      <w:tr w:rsidR="00120EA9" w:rsidRPr="006A2542" w14:paraId="69CD5242" w14:textId="77777777" w:rsidTr="00CC179F">
        <w:trPr>
          <w:jc w:val="center"/>
        </w:trPr>
        <w:tc>
          <w:tcPr>
            <w:tcW w:w="2552" w:type="dxa"/>
            <w:tcBorders>
              <w:top w:val="single" w:sz="3" w:space="0" w:color="D9D9D9"/>
              <w:left w:val="single" w:sz="3" w:space="0" w:color="D9D9D9"/>
              <w:bottom w:val="single" w:sz="3" w:space="0" w:color="D9D9D9"/>
              <w:right w:val="single" w:sz="3" w:space="0" w:color="D9D9D9"/>
            </w:tcBorders>
          </w:tcPr>
          <w:p w14:paraId="1BE2115E" w14:textId="77777777" w:rsidR="00120EA9" w:rsidRPr="006A2542" w:rsidRDefault="00AE430E">
            <w:pPr>
              <w:spacing w:after="0" w:line="240" w:lineRule="auto"/>
              <w:rPr>
                <w:sz w:val="17"/>
                <w:szCs w:val="17"/>
              </w:rPr>
            </w:pPr>
            <w:r w:rsidRPr="006A2542">
              <w:rPr>
                <w:b/>
                <w:sz w:val="17"/>
                <w:szCs w:val="17"/>
              </w:rPr>
              <w:t>Teaching Methods</w:t>
            </w:r>
          </w:p>
        </w:tc>
        <w:tc>
          <w:tcPr>
            <w:tcW w:w="8104" w:type="dxa"/>
            <w:tcBorders>
              <w:top w:val="single" w:sz="3" w:space="0" w:color="D9D9D9"/>
              <w:left w:val="single" w:sz="3" w:space="0" w:color="D9D9D9"/>
              <w:bottom w:val="single" w:sz="3" w:space="0" w:color="D9D9D9"/>
              <w:right w:val="single" w:sz="3" w:space="0" w:color="D9D9D9"/>
            </w:tcBorders>
          </w:tcPr>
          <w:p w14:paraId="3D1A6B88" w14:textId="3F588F22" w:rsidR="00CC179F" w:rsidRPr="006A2542" w:rsidRDefault="00CC179F" w:rsidP="006A2542">
            <w:pPr>
              <w:pStyle w:val="ListParagraph"/>
              <w:numPr>
                <w:ilvl w:val="0"/>
                <w:numId w:val="10"/>
              </w:numPr>
              <w:spacing w:before="120" w:after="120" w:line="240" w:lineRule="auto"/>
              <w:ind w:left="455"/>
              <w:contextualSpacing w:val="0"/>
              <w:rPr>
                <w:sz w:val="17"/>
                <w:szCs w:val="17"/>
              </w:rPr>
            </w:pPr>
            <w:r w:rsidRPr="006A2542">
              <w:rPr>
                <w:sz w:val="17"/>
                <w:szCs w:val="17"/>
              </w:rPr>
              <w:t>Mid-term feedback can serve to inform targeted modifications and intervention strategies in teaching explanations, slide design, online communication, and the equilibrium among theory, practical application, and workplace examples.</w:t>
            </w:r>
          </w:p>
          <w:p w14:paraId="4AC10443" w14:textId="56740CC3" w:rsidR="00120EA9" w:rsidRPr="006A2542" w:rsidRDefault="00AE430E" w:rsidP="006A2542">
            <w:pPr>
              <w:pStyle w:val="ListParagraph"/>
              <w:numPr>
                <w:ilvl w:val="0"/>
                <w:numId w:val="10"/>
              </w:numPr>
              <w:spacing w:before="120" w:after="120" w:line="240" w:lineRule="auto"/>
              <w:ind w:left="455"/>
              <w:contextualSpacing w:val="0"/>
              <w:rPr>
                <w:sz w:val="17"/>
                <w:szCs w:val="17"/>
              </w:rPr>
            </w:pPr>
            <w:r w:rsidRPr="006A2542">
              <w:rPr>
                <w:sz w:val="17"/>
                <w:szCs w:val="17"/>
              </w:rPr>
              <w:t>Visual resources, chat questions, live checks for understanding and regular lecturer check-ins can make online and blended classes clearer, more inclusive and more engaging.</w:t>
            </w:r>
          </w:p>
        </w:tc>
      </w:tr>
      <w:tr w:rsidR="00120EA9" w:rsidRPr="006A2542" w14:paraId="2571247B" w14:textId="77777777" w:rsidTr="00CC179F">
        <w:trPr>
          <w:jc w:val="center"/>
        </w:trPr>
        <w:tc>
          <w:tcPr>
            <w:tcW w:w="2552" w:type="dxa"/>
            <w:tcBorders>
              <w:top w:val="single" w:sz="3" w:space="0" w:color="D9D9D9"/>
              <w:left w:val="single" w:sz="3" w:space="0" w:color="D9D9D9"/>
              <w:bottom w:val="single" w:sz="3" w:space="0" w:color="D9D9D9"/>
              <w:right w:val="single" w:sz="3" w:space="0" w:color="D9D9D9"/>
            </w:tcBorders>
          </w:tcPr>
          <w:p w14:paraId="04D9989A" w14:textId="77777777" w:rsidR="00120EA9" w:rsidRPr="006A2542" w:rsidRDefault="00AE430E">
            <w:pPr>
              <w:spacing w:after="0" w:line="240" w:lineRule="auto"/>
              <w:rPr>
                <w:sz w:val="17"/>
                <w:szCs w:val="17"/>
              </w:rPr>
            </w:pPr>
            <w:r w:rsidRPr="006A2542">
              <w:rPr>
                <w:b/>
                <w:sz w:val="17"/>
                <w:szCs w:val="17"/>
              </w:rPr>
              <w:t>Assessment</w:t>
            </w:r>
          </w:p>
        </w:tc>
        <w:tc>
          <w:tcPr>
            <w:tcW w:w="8104" w:type="dxa"/>
            <w:tcBorders>
              <w:top w:val="single" w:sz="3" w:space="0" w:color="D9D9D9"/>
              <w:left w:val="single" w:sz="3" w:space="0" w:color="D9D9D9"/>
              <w:bottom w:val="single" w:sz="3" w:space="0" w:color="D9D9D9"/>
              <w:right w:val="single" w:sz="3" w:space="0" w:color="D9D9D9"/>
            </w:tcBorders>
          </w:tcPr>
          <w:p w14:paraId="55993450" w14:textId="6850099A" w:rsidR="00CC179F" w:rsidRPr="006A2542" w:rsidRDefault="00CC179F" w:rsidP="006A2542">
            <w:pPr>
              <w:pStyle w:val="ListParagraph"/>
              <w:numPr>
                <w:ilvl w:val="0"/>
                <w:numId w:val="11"/>
              </w:numPr>
              <w:spacing w:before="120" w:after="120" w:line="240" w:lineRule="auto"/>
              <w:ind w:left="455"/>
              <w:contextualSpacing w:val="0"/>
              <w:rPr>
                <w:sz w:val="17"/>
                <w:szCs w:val="17"/>
              </w:rPr>
            </w:pPr>
            <w:r w:rsidRPr="006A2542">
              <w:rPr>
                <w:sz w:val="17"/>
                <w:szCs w:val="17"/>
              </w:rPr>
              <w:t>Survey findings can highlight areas where students require clearer assessment preparation, additional worked examples, explicit exam guidance, and improved connections between learning activities and assessment criteria.</w:t>
            </w:r>
          </w:p>
          <w:p w14:paraId="2AC011A1" w14:textId="6437CC49" w:rsidR="00120EA9" w:rsidRPr="006A2542" w:rsidRDefault="00CC179F" w:rsidP="006A2542">
            <w:pPr>
              <w:pStyle w:val="ListParagraph"/>
              <w:numPr>
                <w:ilvl w:val="0"/>
                <w:numId w:val="11"/>
              </w:numPr>
              <w:spacing w:before="120" w:after="120" w:line="240" w:lineRule="auto"/>
              <w:ind w:left="455"/>
              <w:contextualSpacing w:val="0"/>
              <w:rPr>
                <w:sz w:val="17"/>
                <w:szCs w:val="17"/>
              </w:rPr>
            </w:pPr>
            <w:r w:rsidRPr="006A2542">
              <w:rPr>
                <w:sz w:val="17"/>
                <w:szCs w:val="17"/>
              </w:rPr>
              <w:t>Quick quizzes and concept checks serve as formative tools to support students in monitoring their understanding prior to high-stakes assessments.</w:t>
            </w:r>
          </w:p>
        </w:tc>
      </w:tr>
      <w:tr w:rsidR="00120EA9" w:rsidRPr="006A2542" w14:paraId="5504B889" w14:textId="77777777" w:rsidTr="00CC179F">
        <w:trPr>
          <w:jc w:val="center"/>
        </w:trPr>
        <w:tc>
          <w:tcPr>
            <w:tcW w:w="2552" w:type="dxa"/>
            <w:tcBorders>
              <w:top w:val="single" w:sz="3" w:space="0" w:color="D9D9D9"/>
              <w:left w:val="single" w:sz="3" w:space="0" w:color="D9D9D9"/>
              <w:bottom w:val="single" w:sz="3" w:space="0" w:color="D9D9D9"/>
              <w:right w:val="single" w:sz="3" w:space="0" w:color="D9D9D9"/>
            </w:tcBorders>
          </w:tcPr>
          <w:p w14:paraId="0091581B" w14:textId="77777777" w:rsidR="00120EA9" w:rsidRPr="006A2542" w:rsidRDefault="00AE430E">
            <w:pPr>
              <w:spacing w:after="0" w:line="240" w:lineRule="auto"/>
              <w:rPr>
                <w:sz w:val="17"/>
                <w:szCs w:val="17"/>
              </w:rPr>
            </w:pPr>
            <w:r w:rsidRPr="006A2542">
              <w:rPr>
                <w:b/>
                <w:sz w:val="17"/>
                <w:szCs w:val="17"/>
              </w:rPr>
              <w:t>Student Engagement</w:t>
            </w:r>
          </w:p>
        </w:tc>
        <w:tc>
          <w:tcPr>
            <w:tcW w:w="8104" w:type="dxa"/>
            <w:tcBorders>
              <w:top w:val="single" w:sz="3" w:space="0" w:color="D9D9D9"/>
              <w:left w:val="single" w:sz="3" w:space="0" w:color="D9D9D9"/>
              <w:bottom w:val="single" w:sz="3" w:space="0" w:color="D9D9D9"/>
              <w:right w:val="single" w:sz="3" w:space="0" w:color="D9D9D9"/>
            </w:tcBorders>
          </w:tcPr>
          <w:p w14:paraId="1D546EEF" w14:textId="05C699AD" w:rsidR="00CC179F" w:rsidRPr="006A2542" w:rsidRDefault="00CC179F" w:rsidP="006A2542">
            <w:pPr>
              <w:pStyle w:val="ListParagraph"/>
              <w:numPr>
                <w:ilvl w:val="0"/>
                <w:numId w:val="12"/>
              </w:numPr>
              <w:spacing w:before="120" w:after="120" w:line="240" w:lineRule="auto"/>
              <w:ind w:left="455"/>
              <w:contextualSpacing w:val="0"/>
              <w:rPr>
                <w:sz w:val="17"/>
                <w:szCs w:val="17"/>
              </w:rPr>
            </w:pPr>
            <w:r w:rsidRPr="006A2542">
              <w:rPr>
                <w:sz w:val="17"/>
                <w:szCs w:val="17"/>
              </w:rPr>
              <w:t>Inviting student feedback early in the trimester fosters trust by demonstrating that concerns are acknowledged while there is still an opportunity to enhance the learning experience.</w:t>
            </w:r>
          </w:p>
          <w:p w14:paraId="62EDB9FB" w14:textId="19BAF6D9" w:rsidR="00CC179F" w:rsidRPr="006A2542" w:rsidRDefault="00CC179F" w:rsidP="006A2542">
            <w:pPr>
              <w:pStyle w:val="ListParagraph"/>
              <w:numPr>
                <w:ilvl w:val="0"/>
                <w:numId w:val="12"/>
              </w:numPr>
              <w:spacing w:before="120" w:after="120" w:line="240" w:lineRule="auto"/>
              <w:ind w:left="455"/>
              <w:contextualSpacing w:val="0"/>
              <w:rPr>
                <w:sz w:val="17"/>
                <w:szCs w:val="17"/>
              </w:rPr>
            </w:pPr>
            <w:r w:rsidRPr="006A2542">
              <w:rPr>
                <w:sz w:val="17"/>
                <w:szCs w:val="17"/>
              </w:rPr>
              <w:t>Responsive communication, approachable teaching, respectful discussion, and inclusive classroom norms can enhance students' sense of belonging, engagement, and confidence.</w:t>
            </w:r>
          </w:p>
        </w:tc>
      </w:tr>
      <w:tr w:rsidR="00120EA9" w:rsidRPr="006A2542" w14:paraId="4578E2DA" w14:textId="77777777" w:rsidTr="00CC179F">
        <w:trPr>
          <w:jc w:val="center"/>
        </w:trPr>
        <w:tc>
          <w:tcPr>
            <w:tcW w:w="2552" w:type="dxa"/>
            <w:tcBorders>
              <w:top w:val="single" w:sz="3" w:space="0" w:color="D9D9D9"/>
              <w:left w:val="single" w:sz="3" w:space="0" w:color="D9D9D9"/>
              <w:bottom w:val="single" w:sz="3" w:space="0" w:color="D9D9D9"/>
              <w:right w:val="single" w:sz="3" w:space="0" w:color="D9D9D9"/>
            </w:tcBorders>
          </w:tcPr>
          <w:p w14:paraId="312849B8" w14:textId="77777777" w:rsidR="00120EA9" w:rsidRPr="006A2542" w:rsidRDefault="00AE430E">
            <w:pPr>
              <w:spacing w:after="0" w:line="240" w:lineRule="auto"/>
              <w:rPr>
                <w:sz w:val="17"/>
                <w:szCs w:val="17"/>
              </w:rPr>
            </w:pPr>
            <w:r w:rsidRPr="006A2542">
              <w:rPr>
                <w:b/>
                <w:sz w:val="17"/>
                <w:szCs w:val="17"/>
              </w:rPr>
              <w:t>Curriculum Development</w:t>
            </w:r>
          </w:p>
        </w:tc>
        <w:tc>
          <w:tcPr>
            <w:tcW w:w="8104" w:type="dxa"/>
            <w:tcBorders>
              <w:top w:val="single" w:sz="3" w:space="0" w:color="D9D9D9"/>
              <w:left w:val="single" w:sz="3" w:space="0" w:color="D9D9D9"/>
              <w:bottom w:val="single" w:sz="3" w:space="0" w:color="D9D9D9"/>
              <w:right w:val="single" w:sz="3" w:space="0" w:color="D9D9D9"/>
            </w:tcBorders>
          </w:tcPr>
          <w:p w14:paraId="0F02C4AA" w14:textId="7938B880" w:rsidR="00CC179F" w:rsidRPr="006A2542" w:rsidRDefault="00CC179F" w:rsidP="006A2542">
            <w:pPr>
              <w:pStyle w:val="ListParagraph"/>
              <w:numPr>
                <w:ilvl w:val="0"/>
                <w:numId w:val="13"/>
              </w:numPr>
              <w:spacing w:before="120" w:after="120" w:line="240" w:lineRule="auto"/>
              <w:ind w:left="455"/>
              <w:contextualSpacing w:val="0"/>
              <w:rPr>
                <w:sz w:val="17"/>
                <w:szCs w:val="17"/>
              </w:rPr>
            </w:pPr>
            <w:r w:rsidRPr="006A2542">
              <w:rPr>
                <w:sz w:val="17"/>
                <w:szCs w:val="17"/>
              </w:rPr>
              <w:t>Mid-term survey data helps guide iterative curriculum development by highlighting which learning outcomes, workloads, activities, and resources are well-understood or require adjustments.</w:t>
            </w:r>
          </w:p>
          <w:p w14:paraId="71A0EB89" w14:textId="2FFFF2BB" w:rsidR="00120EA9" w:rsidRPr="006A2542" w:rsidRDefault="00CC179F" w:rsidP="006A2542">
            <w:pPr>
              <w:pStyle w:val="ListParagraph"/>
              <w:numPr>
                <w:ilvl w:val="0"/>
                <w:numId w:val="13"/>
              </w:numPr>
              <w:spacing w:before="120" w:after="120" w:line="240" w:lineRule="auto"/>
              <w:ind w:left="455"/>
              <w:contextualSpacing w:val="0"/>
              <w:rPr>
                <w:sz w:val="17"/>
                <w:szCs w:val="17"/>
              </w:rPr>
            </w:pPr>
            <w:r w:rsidRPr="006A2542">
              <w:rPr>
                <w:sz w:val="17"/>
                <w:szCs w:val="17"/>
              </w:rPr>
              <w:t>Future versions of MM221 can incorporate additional cross-cultural business examples, visual explanations, and formative engagement points throughout the course schedule.</w:t>
            </w:r>
          </w:p>
        </w:tc>
      </w:tr>
      <w:tr w:rsidR="00CC179F" w:rsidRPr="006A2542" w14:paraId="3CC0BA44" w14:textId="77777777" w:rsidTr="00CC179F">
        <w:trPr>
          <w:jc w:val="center"/>
        </w:trPr>
        <w:tc>
          <w:tcPr>
            <w:tcW w:w="2552" w:type="dxa"/>
            <w:tcBorders>
              <w:top w:val="single" w:sz="3" w:space="0" w:color="D9D9D9"/>
              <w:left w:val="single" w:sz="3" w:space="0" w:color="D9D9D9"/>
              <w:bottom w:val="single" w:sz="3" w:space="0" w:color="D9D9D9"/>
              <w:right w:val="single" w:sz="3" w:space="0" w:color="D9D9D9"/>
            </w:tcBorders>
          </w:tcPr>
          <w:p w14:paraId="3093C762" w14:textId="42D4E7AE" w:rsidR="00CC179F" w:rsidRPr="006A2542" w:rsidRDefault="006A2542">
            <w:pPr>
              <w:spacing w:after="0" w:line="240" w:lineRule="auto"/>
              <w:rPr>
                <w:b/>
                <w:sz w:val="17"/>
                <w:szCs w:val="17"/>
              </w:rPr>
            </w:pPr>
            <w:r>
              <w:rPr>
                <w:b/>
                <w:sz w:val="17"/>
                <w:szCs w:val="17"/>
              </w:rPr>
              <w:t xml:space="preserve">Student </w:t>
            </w:r>
            <w:r w:rsidR="00CC179F" w:rsidRPr="006A2542">
              <w:rPr>
                <w:b/>
                <w:sz w:val="17"/>
                <w:szCs w:val="17"/>
              </w:rPr>
              <w:t>Retention</w:t>
            </w:r>
          </w:p>
        </w:tc>
        <w:tc>
          <w:tcPr>
            <w:tcW w:w="8104" w:type="dxa"/>
            <w:tcBorders>
              <w:top w:val="single" w:sz="3" w:space="0" w:color="D9D9D9"/>
              <w:left w:val="single" w:sz="3" w:space="0" w:color="D9D9D9"/>
              <w:bottom w:val="single" w:sz="3" w:space="0" w:color="D9D9D9"/>
              <w:right w:val="single" w:sz="3" w:space="0" w:color="D9D9D9"/>
            </w:tcBorders>
          </w:tcPr>
          <w:p w14:paraId="044061CD" w14:textId="77777777" w:rsidR="00CC179F" w:rsidRPr="006A2542" w:rsidRDefault="00CC179F" w:rsidP="006A2542">
            <w:pPr>
              <w:pStyle w:val="ListParagraph"/>
              <w:numPr>
                <w:ilvl w:val="0"/>
                <w:numId w:val="13"/>
              </w:numPr>
              <w:spacing w:before="120" w:after="120" w:line="240" w:lineRule="auto"/>
              <w:ind w:left="455"/>
              <w:contextualSpacing w:val="0"/>
              <w:rPr>
                <w:sz w:val="17"/>
                <w:szCs w:val="17"/>
              </w:rPr>
            </w:pPr>
            <w:r w:rsidRPr="006A2542">
              <w:rPr>
                <w:sz w:val="17"/>
                <w:szCs w:val="17"/>
              </w:rPr>
              <w:t>Mid-term student feedback can identify early signs of disengagement, such as workload pressure, communication barriers, assessment uncertainty and online participation challenges, allowing timely interventions before students withdraw or become academically at risk.</w:t>
            </w:r>
          </w:p>
          <w:p w14:paraId="3054B56C" w14:textId="72B94C9B" w:rsidR="00CC179F" w:rsidRPr="006A2542" w:rsidRDefault="00CC179F" w:rsidP="006A2542">
            <w:pPr>
              <w:pStyle w:val="ListParagraph"/>
              <w:numPr>
                <w:ilvl w:val="0"/>
                <w:numId w:val="13"/>
              </w:numPr>
              <w:spacing w:before="120" w:after="120" w:line="240" w:lineRule="auto"/>
              <w:ind w:left="455"/>
              <w:contextualSpacing w:val="0"/>
              <w:rPr>
                <w:sz w:val="17"/>
                <w:szCs w:val="17"/>
              </w:rPr>
            </w:pPr>
            <w:r w:rsidRPr="006A2542">
              <w:rPr>
                <w:sz w:val="17"/>
                <w:szCs w:val="17"/>
              </w:rPr>
              <w:t>Survey-informed teaching improvements, including clearer assessment guidance, inclusive communication, diversity-</w:t>
            </w:r>
            <w:r w:rsidR="006A2542" w:rsidRPr="006A2542">
              <w:rPr>
                <w:sz w:val="17"/>
                <w:szCs w:val="17"/>
              </w:rPr>
              <w:t>equity-</w:t>
            </w:r>
            <w:r w:rsidRPr="006A2542">
              <w:rPr>
                <w:sz w:val="17"/>
                <w:szCs w:val="17"/>
              </w:rPr>
              <w:t>inclusion</w:t>
            </w:r>
            <w:r w:rsidR="006A2542" w:rsidRPr="006A2542">
              <w:rPr>
                <w:sz w:val="17"/>
                <w:szCs w:val="17"/>
              </w:rPr>
              <w:t xml:space="preserve"> (DEI),</w:t>
            </w:r>
            <w:r w:rsidRPr="006A2542">
              <w:rPr>
                <w:sz w:val="17"/>
                <w:szCs w:val="17"/>
              </w:rPr>
              <w:t xml:space="preserve"> visual resources, quick knowledge checks and responsive support, can strengthen students’ sense of belonging, confidence and persistence in the unit.</w:t>
            </w:r>
          </w:p>
        </w:tc>
      </w:tr>
    </w:tbl>
    <w:p w14:paraId="49A3973E" w14:textId="77777777" w:rsidR="00120EA9" w:rsidRDefault="00AE430E" w:rsidP="006A2542">
      <w:pPr>
        <w:spacing w:before="160" w:after="160" w:line="240" w:lineRule="auto"/>
      </w:pPr>
      <w:r>
        <w:rPr>
          <w:b/>
        </w:rPr>
        <w:t>5. Valuable Sources and References</w:t>
      </w:r>
    </w:p>
    <w:p w14:paraId="23EDFB65" w14:textId="054FC70F" w:rsidR="00120EA9" w:rsidRDefault="00AE430E" w:rsidP="006A2542">
      <w:pPr>
        <w:spacing w:before="120" w:after="120" w:line="240" w:lineRule="auto"/>
      </w:pPr>
      <w:r>
        <w:rPr>
          <w:b/>
          <w:sz w:val="17"/>
        </w:rPr>
        <w:t xml:space="preserve">Source 1: </w:t>
      </w:r>
      <w:r w:rsidR="006A2542">
        <w:rPr>
          <w:sz w:val="17"/>
        </w:rPr>
        <w:t>MM221 Week 4 Student Survey, Trimester 1/2026 – internal evidence on unit experience, lecturer experience and DEI.</w:t>
      </w:r>
    </w:p>
    <w:p w14:paraId="7BD20B4F" w14:textId="5B1DBDE0" w:rsidR="00120EA9" w:rsidRDefault="00AE430E" w:rsidP="006A2542">
      <w:pPr>
        <w:spacing w:before="120" w:after="120" w:line="240" w:lineRule="auto"/>
      </w:pPr>
      <w:r>
        <w:rPr>
          <w:b/>
          <w:sz w:val="17"/>
        </w:rPr>
        <w:t xml:space="preserve">Source 2: </w:t>
      </w:r>
      <w:r w:rsidR="006A2542" w:rsidRPr="006A2542">
        <w:rPr>
          <w:bCs/>
          <w:sz w:val="17"/>
        </w:rPr>
        <w:t>UNE</w:t>
      </w:r>
      <w:r w:rsidR="006A2542">
        <w:rPr>
          <w:b/>
          <w:sz w:val="17"/>
        </w:rPr>
        <w:t xml:space="preserve"> </w:t>
      </w:r>
      <w:r w:rsidR="006A2542">
        <w:rPr>
          <w:sz w:val="17"/>
        </w:rPr>
        <w:t>Unit and teaching survey (TBA, T1/2026)</w:t>
      </w:r>
    </w:p>
    <w:p w14:paraId="4408C9B0" w14:textId="4CBBAF06" w:rsidR="00120EA9" w:rsidRDefault="00AE430E" w:rsidP="006A2542">
      <w:pPr>
        <w:spacing w:before="160" w:after="160" w:line="240" w:lineRule="auto"/>
      </w:pPr>
      <w:r>
        <w:rPr>
          <w:b/>
        </w:rPr>
        <w:t xml:space="preserve">6. </w:t>
      </w:r>
      <w:r w:rsidR="006A2542">
        <w:rPr>
          <w:b/>
        </w:rPr>
        <w:t>Weaknesses</w:t>
      </w:r>
      <w:r>
        <w:rPr>
          <w:b/>
        </w:rPr>
        <w:t xml:space="preserve"> and </w:t>
      </w:r>
      <w:r w:rsidR="006A2542">
        <w:rPr>
          <w:b/>
        </w:rPr>
        <w:t>Areas</w:t>
      </w:r>
      <w:r>
        <w:rPr>
          <w:b/>
        </w:rPr>
        <w:t xml:space="preserve"> for Future Research</w:t>
      </w:r>
    </w:p>
    <w:p w14:paraId="202E45AC" w14:textId="77777777" w:rsidR="00120EA9" w:rsidRDefault="00AE430E" w:rsidP="006A2542">
      <w:pPr>
        <w:spacing w:before="120" w:after="120" w:line="240" w:lineRule="auto"/>
      </w:pPr>
      <w:r>
        <w:rPr>
          <w:b/>
          <w:sz w:val="17"/>
        </w:rPr>
        <w:t xml:space="preserve">Weakness: </w:t>
      </w:r>
      <w:r>
        <w:rPr>
          <w:sz w:val="17"/>
        </w:rPr>
        <w:t>The analysis is based on mid-term survey data; the Term 1/2026 unit evaluation report has not yet been received.</w:t>
      </w:r>
    </w:p>
    <w:p w14:paraId="2A339E12" w14:textId="77777777" w:rsidR="00120EA9" w:rsidRDefault="00AE430E" w:rsidP="006A2542">
      <w:pPr>
        <w:spacing w:before="120" w:after="120" w:line="240" w:lineRule="auto"/>
      </w:pPr>
      <w:r>
        <w:rPr>
          <w:b/>
          <w:sz w:val="17"/>
        </w:rPr>
        <w:t xml:space="preserve">Future Research: </w:t>
      </w:r>
      <w:r>
        <w:rPr>
          <w:sz w:val="17"/>
        </w:rPr>
        <w:t>Future analysis should compare mid-term feedback actions with final unit evaluation results, learning analytics and assessment outcomes to evaluate impact more robustly.</w:t>
      </w:r>
    </w:p>
    <w:sectPr w:rsidR="00120EA9" w:rsidSect="00034616">
      <w:footerReference w:type="default" r:id="rId9"/>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56A2" w14:textId="77777777" w:rsidR="00542E0B" w:rsidRDefault="00542E0B">
      <w:pPr>
        <w:spacing w:after="0" w:line="240" w:lineRule="auto"/>
      </w:pPr>
      <w:r>
        <w:separator/>
      </w:r>
    </w:p>
  </w:endnote>
  <w:endnote w:type="continuationSeparator" w:id="0">
    <w:p w14:paraId="68C3E49F" w14:textId="77777777" w:rsidR="00542E0B" w:rsidRDefault="0054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DE30" w14:textId="77777777" w:rsidR="00120EA9" w:rsidRDefault="00120EA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1BAA" w14:textId="77777777" w:rsidR="00542E0B" w:rsidRDefault="00542E0B">
      <w:pPr>
        <w:spacing w:after="0" w:line="240" w:lineRule="auto"/>
      </w:pPr>
      <w:r>
        <w:separator/>
      </w:r>
    </w:p>
  </w:footnote>
  <w:footnote w:type="continuationSeparator" w:id="0">
    <w:p w14:paraId="5A5F29CE" w14:textId="77777777" w:rsidR="00542E0B" w:rsidRDefault="00542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1355BE"/>
    <w:multiLevelType w:val="hybridMultilevel"/>
    <w:tmpl w:val="35E87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A83682F"/>
    <w:multiLevelType w:val="hybridMultilevel"/>
    <w:tmpl w:val="61764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3C23AA5"/>
    <w:multiLevelType w:val="hybridMultilevel"/>
    <w:tmpl w:val="2E164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46480F"/>
    <w:multiLevelType w:val="hybridMultilevel"/>
    <w:tmpl w:val="418AC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977463">
    <w:abstractNumId w:val="8"/>
  </w:num>
  <w:num w:numId="2" w16cid:durableId="1783916340">
    <w:abstractNumId w:val="6"/>
  </w:num>
  <w:num w:numId="3" w16cid:durableId="1443189871">
    <w:abstractNumId w:val="5"/>
  </w:num>
  <w:num w:numId="4" w16cid:durableId="661736949">
    <w:abstractNumId w:val="4"/>
  </w:num>
  <w:num w:numId="5" w16cid:durableId="1146580568">
    <w:abstractNumId w:val="7"/>
  </w:num>
  <w:num w:numId="6" w16cid:durableId="955940539">
    <w:abstractNumId w:val="3"/>
  </w:num>
  <w:num w:numId="7" w16cid:durableId="1874880556">
    <w:abstractNumId w:val="2"/>
  </w:num>
  <w:num w:numId="8" w16cid:durableId="11222217">
    <w:abstractNumId w:val="1"/>
  </w:num>
  <w:num w:numId="9" w16cid:durableId="837959374">
    <w:abstractNumId w:val="0"/>
  </w:num>
  <w:num w:numId="10" w16cid:durableId="2011711890">
    <w:abstractNumId w:val="9"/>
  </w:num>
  <w:num w:numId="11" w16cid:durableId="281770158">
    <w:abstractNumId w:val="12"/>
  </w:num>
  <w:num w:numId="12" w16cid:durableId="1654681069">
    <w:abstractNumId w:val="10"/>
  </w:num>
  <w:num w:numId="13" w16cid:durableId="1075855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0EA9"/>
    <w:rsid w:val="0015074B"/>
    <w:rsid w:val="0029639D"/>
    <w:rsid w:val="00326F90"/>
    <w:rsid w:val="00542E0B"/>
    <w:rsid w:val="00571E68"/>
    <w:rsid w:val="006A2542"/>
    <w:rsid w:val="007740E8"/>
    <w:rsid w:val="00AA1D8D"/>
    <w:rsid w:val="00AE430E"/>
    <w:rsid w:val="00B47730"/>
    <w:rsid w:val="00CB0664"/>
    <w:rsid w:val="00CC179F"/>
    <w:rsid w:val="00F436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41AAEF"/>
  <w14:defaultImageDpi w14:val="300"/>
  <w15:docId w15:val="{E41B6DC2-3B01-4503-B8BF-374803C9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C179F"/>
    <w:rPr>
      <w:color w:val="0000FF" w:themeColor="hyperlink"/>
      <w:u w:val="single"/>
    </w:rPr>
  </w:style>
  <w:style w:type="character" w:styleId="UnresolvedMention">
    <w:name w:val="Unresolved Mention"/>
    <w:basedOn w:val="DefaultParagraphFont"/>
    <w:uiPriority w:val="99"/>
    <w:semiHidden/>
    <w:unhideWhenUsed/>
    <w:rsid w:val="00CC1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ves.sultan@une.edu.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Parves Sultan</cp:lastModifiedBy>
  <cp:revision>3</cp:revision>
  <dcterms:created xsi:type="dcterms:W3CDTF">2026-06-30T04:38:00Z</dcterms:created>
  <dcterms:modified xsi:type="dcterms:W3CDTF">2026-06-30T04:42:00Z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7e294fd4-87b5-4858-9586-b6941c711273</vt:lpwstr>
  </property>
</Properties>
</file>