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5008" w14:textId="3513ADBA" w:rsidR="0004540F" w:rsidRDefault="00CC4D92" w:rsidP="00CC4D92">
      <w:pPr>
        <w:tabs>
          <w:tab w:val="left" w:pos="3686"/>
        </w:tabs>
        <w:spacing w:after="0"/>
        <w:rPr>
          <w:b/>
          <w:sz w:val="24"/>
        </w:rPr>
      </w:pPr>
      <w:r w:rsidRPr="00CC4D92">
        <w:rPr>
          <w:b/>
          <w:sz w:val="24"/>
        </w:rPr>
        <w:t>UNE</w:t>
      </w:r>
      <w:r w:rsidR="00D806D3">
        <w:rPr>
          <w:b/>
          <w:sz w:val="24"/>
        </w:rPr>
        <w:t xml:space="preserve"> L&amp;T</w:t>
      </w:r>
      <w:r w:rsidRPr="00CC4D92">
        <w:rPr>
          <w:b/>
          <w:sz w:val="24"/>
        </w:rPr>
        <w:t xml:space="preserve"> </w:t>
      </w:r>
      <w:r w:rsidR="00D806D3" w:rsidRPr="00CC4D92">
        <w:rPr>
          <w:b/>
          <w:sz w:val="24"/>
        </w:rPr>
        <w:t>Symposium 202</w:t>
      </w:r>
      <w:r w:rsidR="00D91508">
        <w:rPr>
          <w:b/>
          <w:sz w:val="24"/>
        </w:rPr>
        <w:t>6</w:t>
      </w:r>
      <w:r w:rsidR="00D40498">
        <w:rPr>
          <w:b/>
          <w:sz w:val="24"/>
        </w:rPr>
        <w:t xml:space="preserve"> – Presentation Synopsis</w:t>
      </w:r>
    </w:p>
    <w:p w14:paraId="12BD76BA" w14:textId="6D7F7D1F" w:rsidR="0004540F" w:rsidRPr="0004540F" w:rsidRDefault="0004540F" w:rsidP="0004540F">
      <w:pPr>
        <w:spacing w:after="0"/>
        <w:rPr>
          <w:b/>
        </w:rPr>
      </w:pPr>
      <w:r w:rsidRPr="0004540F">
        <w:rPr>
          <w:b/>
        </w:rPr>
        <w:t>1. Title of Presentation:</w:t>
      </w:r>
    </w:p>
    <w:p w14:paraId="1DE85D45" w14:textId="177AFDA1" w:rsidR="0004540F" w:rsidRPr="0077511D" w:rsidRDefault="00685B51" w:rsidP="0077511D">
      <w:pPr>
        <w:rPr>
          <w:b/>
          <w:bCs/>
          <w:i/>
          <w:iCs/>
          <w:color w:val="2E74B5" w:themeColor="accent1" w:themeShade="BF"/>
        </w:rPr>
      </w:pPr>
      <w:r w:rsidRPr="00685B51">
        <w:rPr>
          <w:b/>
          <w:bCs/>
          <w:i/>
          <w:iCs/>
          <w:color w:val="2E74B5" w:themeColor="accent1" w:themeShade="BF"/>
        </w:rPr>
        <w:t xml:space="preserve">Nursing Students as Partners: Tailored Workshops for Pathophysiology Writing Skills </w:t>
      </w:r>
    </w:p>
    <w:p w14:paraId="764ED8B6" w14:textId="5B9A560B" w:rsidR="0004540F" w:rsidRDefault="0004540F" w:rsidP="0004540F">
      <w:pPr>
        <w:spacing w:after="0"/>
        <w:rPr>
          <w:b/>
        </w:rPr>
      </w:pPr>
      <w:r w:rsidRPr="0004540F">
        <w:rPr>
          <w:b/>
        </w:rPr>
        <w:t>2. Presenter(s) Name(s) and Affiliation(s):</w:t>
      </w:r>
    </w:p>
    <w:p w14:paraId="6D05B55E" w14:textId="77777777" w:rsidR="00685B51" w:rsidRPr="00214212" w:rsidRDefault="00685B51" w:rsidP="00685B51">
      <w:pPr>
        <w:pStyle w:val="Authornames"/>
        <w:rPr>
          <w:vertAlign w:val="superscript"/>
        </w:rPr>
      </w:pPr>
      <w:r w:rsidRPr="00214212">
        <w:t>Huifang Li1</w:t>
      </w:r>
      <w:r w:rsidRPr="00214212">
        <w:rPr>
          <w:vertAlign w:val="superscript"/>
        </w:rPr>
        <w:t>a</w:t>
      </w:r>
      <w:r w:rsidRPr="00214212">
        <w:t>, Mansi Dass Singh 2</w:t>
      </w:r>
      <w:r w:rsidRPr="00214212">
        <w:rPr>
          <w:vertAlign w:val="superscript"/>
        </w:rPr>
        <w:t>b</w:t>
      </w:r>
    </w:p>
    <w:p w14:paraId="74EE176D" w14:textId="77777777" w:rsidR="00685B51" w:rsidRPr="0004540F" w:rsidRDefault="00685B51" w:rsidP="0004540F">
      <w:pPr>
        <w:spacing w:after="0"/>
        <w:rPr>
          <w:b/>
        </w:rPr>
      </w:pPr>
    </w:p>
    <w:p w14:paraId="1773CDF5" w14:textId="77777777" w:rsidR="00685B51" w:rsidRPr="00214212" w:rsidRDefault="00685B51" w:rsidP="00685B51">
      <w:pPr>
        <w:pStyle w:val="Authoraddress"/>
      </w:pPr>
      <w:r w:rsidRPr="00214212">
        <w:t>Presenting Author: Dr Mansi Dass Singh (mdasssin@une.edu)</w:t>
      </w:r>
    </w:p>
    <w:p w14:paraId="50B0DC49" w14:textId="672447AA" w:rsidR="00685B51" w:rsidRPr="00214212" w:rsidRDefault="00685B51" w:rsidP="00685B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proofErr w:type="spellStart"/>
      <w:proofErr w:type="gramStart"/>
      <w:r w:rsidRPr="00214212">
        <w:rPr>
          <w:color w:val="000000"/>
          <w:sz w:val="16"/>
          <w:szCs w:val="16"/>
          <w:vertAlign w:val="superscript"/>
        </w:rPr>
        <w:t>a</w:t>
      </w:r>
      <w:proofErr w:type="spellEnd"/>
      <w:proofErr w:type="gramEnd"/>
      <w:r w:rsidRPr="00214212">
        <w:rPr>
          <w:color w:val="000000"/>
          <w:sz w:val="24"/>
          <w:szCs w:val="24"/>
        </w:rPr>
        <w:t xml:space="preserve"> </w:t>
      </w:r>
      <w:r w:rsidRPr="00214212">
        <w:rPr>
          <w:color w:val="000000"/>
          <w:sz w:val="16"/>
          <w:szCs w:val="16"/>
        </w:rPr>
        <w:t xml:space="preserve">Academic Skill office, </w:t>
      </w:r>
      <w:r>
        <w:rPr>
          <w:color w:val="000000"/>
          <w:sz w:val="16"/>
          <w:szCs w:val="16"/>
        </w:rPr>
        <w:t>Education Futures</w:t>
      </w:r>
      <w:r w:rsidRPr="00214212">
        <w:rPr>
          <w:color w:val="000000"/>
          <w:sz w:val="16"/>
          <w:szCs w:val="16"/>
        </w:rPr>
        <w:t xml:space="preserve">, University of New England, Armidale,2350, Australia </w:t>
      </w:r>
    </w:p>
    <w:p w14:paraId="3095CE8B" w14:textId="01CFE306" w:rsidR="0004540F" w:rsidRDefault="00685B51" w:rsidP="009E4F9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 w:rsidRPr="00214212">
        <w:rPr>
          <w:color w:val="000000"/>
          <w:sz w:val="16"/>
          <w:szCs w:val="16"/>
          <w:vertAlign w:val="superscript"/>
        </w:rPr>
        <w:t>b</w:t>
      </w:r>
      <w:r w:rsidRPr="00214212">
        <w:rPr>
          <w:color w:val="000000"/>
          <w:sz w:val="24"/>
          <w:szCs w:val="24"/>
        </w:rPr>
        <w:t xml:space="preserve"> </w:t>
      </w:r>
      <w:r w:rsidRPr="00214212">
        <w:rPr>
          <w:color w:val="000000"/>
          <w:sz w:val="16"/>
          <w:szCs w:val="16"/>
        </w:rPr>
        <w:t xml:space="preserve">Department of Biomedical Science, School of Science and Technology, University of New England, Armidale,2350, Australia </w:t>
      </w:r>
    </w:p>
    <w:p w14:paraId="35B9E46F" w14:textId="77777777" w:rsidR="009E4F9B" w:rsidRPr="009E4F9B" w:rsidRDefault="009E4F9B" w:rsidP="009E4F9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</w:p>
    <w:p w14:paraId="1FBCB7FC" w14:textId="2C0DE53A" w:rsidR="00D40498" w:rsidRPr="0077511D" w:rsidRDefault="0004540F" w:rsidP="0004540F">
      <w:pPr>
        <w:spacing w:after="0"/>
        <w:rPr>
          <w:b/>
        </w:rPr>
      </w:pPr>
      <w:r w:rsidRPr="0004540F">
        <w:rPr>
          <w:b/>
        </w:rPr>
        <w:t>3</w:t>
      </w:r>
      <w:r w:rsidRPr="009E4F9B">
        <w:rPr>
          <w:b/>
          <w:color w:val="2E74B5" w:themeColor="accent1" w:themeShade="BF"/>
        </w:rPr>
        <w:t>. Main Takeaways:</w:t>
      </w:r>
    </w:p>
    <w:p w14:paraId="23B471C4" w14:textId="54A24D77" w:rsidR="005B50BD" w:rsidRDefault="0004540F" w:rsidP="00685B51">
      <w:pPr>
        <w:rPr>
          <w:bCs/>
          <w:iCs/>
        </w:rPr>
      </w:pPr>
      <w:r w:rsidRPr="0004540F">
        <w:rPr>
          <w:b/>
          <w:i/>
        </w:rPr>
        <w:t>Takeaway 1</w:t>
      </w:r>
      <w:r w:rsidR="00D40498">
        <w:rPr>
          <w:b/>
          <w:i/>
        </w:rPr>
        <w:t>:</w:t>
      </w:r>
      <w:r w:rsidR="005B50BD">
        <w:rPr>
          <w:b/>
          <w:i/>
        </w:rPr>
        <w:t xml:space="preserve"> </w:t>
      </w:r>
      <w:r w:rsidR="005B50BD" w:rsidRPr="005B50BD">
        <w:rPr>
          <w:bCs/>
          <w:iCs/>
        </w:rPr>
        <w:t xml:space="preserve">Interactive workshops using authentic student exemplars and targeted preparation strategies </w:t>
      </w:r>
      <w:r w:rsidR="005B50BD">
        <w:rPr>
          <w:bCs/>
          <w:iCs/>
        </w:rPr>
        <w:t>creates opportunities for nursing students to learn and acquire writing skills.</w:t>
      </w:r>
    </w:p>
    <w:p w14:paraId="23D922B8" w14:textId="2C1FA6DB" w:rsidR="0004540F" w:rsidRDefault="00685B51" w:rsidP="0077511D">
      <w:r w:rsidRPr="0004540F">
        <w:rPr>
          <w:b/>
          <w:i/>
        </w:rPr>
        <w:t>Takeaway 2</w:t>
      </w:r>
      <w:r>
        <w:rPr>
          <w:b/>
          <w:i/>
        </w:rPr>
        <w:t xml:space="preserve">: </w:t>
      </w:r>
      <w:r w:rsidR="005B50BD" w:rsidRPr="005B50BD">
        <w:rPr>
          <w:bCs/>
          <w:iCs/>
        </w:rPr>
        <w:t xml:space="preserve">Interdisciplinary academic support focusing on </w:t>
      </w:r>
      <w:r w:rsidR="005B50BD">
        <w:rPr>
          <w:bCs/>
          <w:iCs/>
        </w:rPr>
        <w:t>writing the</w:t>
      </w:r>
      <w:r w:rsidR="005B50BD" w:rsidRPr="005B50BD">
        <w:rPr>
          <w:bCs/>
          <w:iCs/>
        </w:rPr>
        <w:t xml:space="preserve"> </w:t>
      </w:r>
      <w:r w:rsidR="005B50BD" w:rsidRPr="00824009">
        <w:t>short and long answer</w:t>
      </w:r>
      <w:r w:rsidR="005B50BD">
        <w:t>s in a high-stake assurance exam</w:t>
      </w:r>
      <w:r w:rsidR="005B50BD" w:rsidRPr="00824009">
        <w:t xml:space="preserve"> </w:t>
      </w:r>
      <w:r w:rsidR="005B50BD">
        <w:rPr>
          <w:bCs/>
          <w:iCs/>
        </w:rPr>
        <w:t>of a second-year pathophysiology</w:t>
      </w:r>
      <w:r w:rsidR="005B50BD" w:rsidRPr="005B50BD">
        <w:rPr>
          <w:bCs/>
          <w:iCs/>
        </w:rPr>
        <w:t xml:space="preserve"> </w:t>
      </w:r>
      <w:r w:rsidR="005B50BD">
        <w:rPr>
          <w:bCs/>
          <w:iCs/>
        </w:rPr>
        <w:t>unit,</w:t>
      </w:r>
      <w:r w:rsidR="005B50BD" w:rsidRPr="005B50BD">
        <w:rPr>
          <w:bCs/>
          <w:iCs/>
        </w:rPr>
        <w:t xml:space="preserve"> significantly elevates </w:t>
      </w:r>
      <w:r w:rsidR="005B50BD">
        <w:rPr>
          <w:bCs/>
          <w:iCs/>
        </w:rPr>
        <w:t xml:space="preserve">nursing </w:t>
      </w:r>
      <w:r w:rsidR="005B50BD" w:rsidRPr="005B50BD">
        <w:rPr>
          <w:bCs/>
          <w:iCs/>
        </w:rPr>
        <w:t>student performance</w:t>
      </w:r>
      <w:r w:rsidR="005B50BD">
        <w:t>.</w:t>
      </w:r>
    </w:p>
    <w:p w14:paraId="5E95E682" w14:textId="5550EFA8" w:rsidR="00D40498" w:rsidRDefault="0004540F" w:rsidP="0004540F">
      <w:pPr>
        <w:spacing w:after="0"/>
        <w:rPr>
          <w:b/>
        </w:rPr>
      </w:pPr>
      <w:r w:rsidRPr="0004540F">
        <w:rPr>
          <w:b/>
        </w:rPr>
        <w:t>4. Application in Educational Contexts:</w:t>
      </w:r>
    </w:p>
    <w:p w14:paraId="47D91740" w14:textId="6E27226F" w:rsidR="0004540F" w:rsidRPr="009E4F9B" w:rsidRDefault="0004540F" w:rsidP="0004540F">
      <w:pPr>
        <w:spacing w:after="0"/>
        <w:rPr>
          <w:color w:val="2E74B5" w:themeColor="accent1" w:themeShade="BF"/>
        </w:rPr>
      </w:pPr>
      <w:r w:rsidRPr="009E4F9B">
        <w:rPr>
          <w:b/>
          <w:i/>
          <w:color w:val="2E74B5" w:themeColor="accent1" w:themeShade="BF"/>
        </w:rPr>
        <w:t>Teaching Methods:</w:t>
      </w:r>
      <w:r w:rsidR="0077511D" w:rsidRPr="009E4F9B">
        <w:rPr>
          <w:b/>
          <w:i/>
          <w:color w:val="2E74B5" w:themeColor="accent1" w:themeShade="BF"/>
        </w:rPr>
        <w:t xml:space="preserve"> </w:t>
      </w:r>
    </w:p>
    <w:p w14:paraId="713EDA00" w14:textId="7B30E9E5" w:rsidR="00DF5D56" w:rsidRDefault="00DF5D56" w:rsidP="00DF5D56">
      <w:pPr>
        <w:spacing w:after="0"/>
      </w:pPr>
      <w:r w:rsidRPr="00DF5D56">
        <w:rPr>
          <w:b/>
          <w:bCs/>
          <w:i/>
          <w:iCs/>
        </w:rPr>
        <w:t>Sentence 1</w:t>
      </w:r>
      <w:r>
        <w:t>-</w:t>
      </w:r>
      <w:r w:rsidRPr="00DF5D56">
        <w:t>This presentation offers a scalable, evidence-based model for addressing achievement gaps in high-stakes tertiary bioscience assessments</w:t>
      </w:r>
      <w:r>
        <w:t xml:space="preserve"> for nursing students through integration of </w:t>
      </w:r>
      <w:r w:rsidRPr="00DF5D56">
        <w:t>active, peer-modelled teaching method</w:t>
      </w:r>
      <w:r>
        <w:t>.</w:t>
      </w:r>
    </w:p>
    <w:p w14:paraId="576489CC" w14:textId="1D06E08B" w:rsidR="00D40498" w:rsidRPr="0077511D" w:rsidRDefault="00DF5D56" w:rsidP="0004540F">
      <w:pPr>
        <w:spacing w:after="0"/>
      </w:pPr>
      <w:r w:rsidRPr="00DF5D56">
        <w:rPr>
          <w:b/>
          <w:bCs/>
          <w:i/>
          <w:iCs/>
        </w:rPr>
        <w:t xml:space="preserve">Sentence </w:t>
      </w:r>
      <w:r>
        <w:rPr>
          <w:b/>
          <w:bCs/>
          <w:i/>
          <w:iCs/>
        </w:rPr>
        <w:t>2-</w:t>
      </w:r>
      <w:r w:rsidRPr="00DF5D56">
        <w:t xml:space="preserve">Practically, this intervention equips diverse nursing learners with the structural and cognitive tools needed to translate complex physiological understanding into coherent exam responses. </w:t>
      </w:r>
    </w:p>
    <w:p w14:paraId="24A8BEF7" w14:textId="6E60F6AE" w:rsidR="0004540F" w:rsidRPr="009E4F9B" w:rsidRDefault="0004540F" w:rsidP="0004540F">
      <w:pPr>
        <w:spacing w:after="0"/>
        <w:rPr>
          <w:color w:val="2E74B5" w:themeColor="accent1" w:themeShade="BF"/>
        </w:rPr>
      </w:pPr>
      <w:r w:rsidRPr="009E4F9B">
        <w:rPr>
          <w:b/>
          <w:color w:val="2E74B5" w:themeColor="accent1" w:themeShade="BF"/>
        </w:rPr>
        <w:t>Assessment:</w:t>
      </w:r>
      <w:r w:rsidRPr="009E4F9B">
        <w:rPr>
          <w:color w:val="2E74B5" w:themeColor="accent1" w:themeShade="BF"/>
        </w:rPr>
        <w:t xml:space="preserve"> </w:t>
      </w:r>
    </w:p>
    <w:p w14:paraId="78B2C6B8" w14:textId="2BE0E62D" w:rsidR="0004540F" w:rsidRDefault="00DF5D56" w:rsidP="0004540F">
      <w:pPr>
        <w:spacing w:after="0"/>
      </w:pPr>
      <w:r w:rsidRPr="00DF5D56">
        <w:rPr>
          <w:b/>
          <w:bCs/>
          <w:i/>
          <w:iCs/>
        </w:rPr>
        <w:t xml:space="preserve">Sentence </w:t>
      </w:r>
      <w:r>
        <w:rPr>
          <w:b/>
          <w:bCs/>
          <w:i/>
          <w:iCs/>
        </w:rPr>
        <w:t>1-</w:t>
      </w:r>
      <w:r w:rsidRPr="00DF5D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DF5D56">
        <w:t xml:space="preserve">Student performance in the </w:t>
      </w:r>
      <w:r>
        <w:t>h</w:t>
      </w:r>
      <w:r w:rsidRPr="00DF5D56">
        <w:t xml:space="preserve">igh-stakes assessments can be enhanced by embedding </w:t>
      </w:r>
      <w:r>
        <w:t>l</w:t>
      </w:r>
      <w:r w:rsidRPr="00DF5D56">
        <w:t xml:space="preserve">iterary-science scaffolding into the curriculum, which bridges the gap between </w:t>
      </w:r>
      <w:r>
        <w:t xml:space="preserve">nursing </w:t>
      </w:r>
      <w:r w:rsidRPr="00DF5D56">
        <w:t>students' internal theoretical understanding and their professional written communication in exams</w:t>
      </w:r>
      <w:r>
        <w:t>.</w:t>
      </w:r>
      <w:r w:rsidRPr="00DF5D56">
        <w:t xml:space="preserve"> </w:t>
      </w:r>
    </w:p>
    <w:p w14:paraId="7C407842" w14:textId="6DEB103B" w:rsidR="00D40498" w:rsidRPr="0077511D" w:rsidRDefault="0004540F" w:rsidP="0004540F">
      <w:pPr>
        <w:spacing w:after="0"/>
        <w:rPr>
          <w:iCs/>
        </w:rPr>
      </w:pPr>
      <w:r>
        <w:t xml:space="preserve"> </w:t>
      </w:r>
      <w:r w:rsidR="00DF5D56" w:rsidRPr="00DF5D56">
        <w:rPr>
          <w:b/>
          <w:bCs/>
          <w:i/>
          <w:iCs/>
        </w:rPr>
        <w:t xml:space="preserve">Sentence </w:t>
      </w:r>
      <w:r w:rsidR="00DF5D56">
        <w:rPr>
          <w:b/>
          <w:bCs/>
          <w:i/>
          <w:iCs/>
        </w:rPr>
        <w:t>2</w:t>
      </w:r>
      <w:r>
        <w:t xml:space="preserve">- </w:t>
      </w:r>
      <w:r w:rsidR="00DF5D56" w:rsidRPr="00DF5D56">
        <w:rPr>
          <w:iCs/>
        </w:rPr>
        <w:t xml:space="preserve">Given that most learners are mature-aged, possess diverse learning styles, or originate from regional and international communities, </w:t>
      </w:r>
      <w:r w:rsidR="00DF5D56">
        <w:rPr>
          <w:iCs/>
        </w:rPr>
        <w:t xml:space="preserve">such collaborative </w:t>
      </w:r>
      <w:r w:rsidR="00DF5D56" w:rsidRPr="00DF5D56">
        <w:rPr>
          <w:iCs/>
        </w:rPr>
        <w:t xml:space="preserve">tailored academic interventions </w:t>
      </w:r>
      <w:r w:rsidR="00DF5D56">
        <w:rPr>
          <w:iCs/>
        </w:rPr>
        <w:t>can</w:t>
      </w:r>
      <w:r w:rsidR="00DF5D56" w:rsidRPr="00DF5D56">
        <w:rPr>
          <w:iCs/>
        </w:rPr>
        <w:t xml:space="preserve"> </w:t>
      </w:r>
      <w:r w:rsidR="009910A4">
        <w:rPr>
          <w:iCs/>
        </w:rPr>
        <w:t xml:space="preserve">be delivered online and </w:t>
      </w:r>
      <w:r w:rsidR="00DF5D56" w:rsidRPr="00DF5D56">
        <w:rPr>
          <w:iCs/>
        </w:rPr>
        <w:t xml:space="preserve">empathetically support </w:t>
      </w:r>
      <w:r w:rsidR="009910A4">
        <w:rPr>
          <w:iCs/>
        </w:rPr>
        <w:t>students’</w:t>
      </w:r>
      <w:r w:rsidR="00DF5D56">
        <w:rPr>
          <w:iCs/>
        </w:rPr>
        <w:t xml:space="preserve"> success in exams</w:t>
      </w:r>
      <w:r w:rsidR="00DF5D56" w:rsidRPr="00DF5D56">
        <w:rPr>
          <w:iCs/>
        </w:rPr>
        <w:t xml:space="preserve"> while maintaining rigorous assessment standards.</w:t>
      </w:r>
    </w:p>
    <w:p w14:paraId="7854C4AC" w14:textId="18E462E1" w:rsidR="0004540F" w:rsidRPr="009E4F9B" w:rsidRDefault="0004540F" w:rsidP="0004540F">
      <w:pPr>
        <w:spacing w:after="0"/>
        <w:rPr>
          <w:color w:val="2E74B5" w:themeColor="accent1" w:themeShade="BF"/>
        </w:rPr>
      </w:pPr>
      <w:r w:rsidRPr="009E4F9B">
        <w:rPr>
          <w:b/>
          <w:color w:val="2E74B5" w:themeColor="accent1" w:themeShade="BF"/>
        </w:rPr>
        <w:t>Student Engagement:</w:t>
      </w:r>
      <w:r w:rsidRPr="009E4F9B">
        <w:rPr>
          <w:color w:val="2E74B5" w:themeColor="accent1" w:themeShade="BF"/>
        </w:rPr>
        <w:t xml:space="preserve"> </w:t>
      </w:r>
    </w:p>
    <w:p w14:paraId="6709FF55" w14:textId="6DDA9700" w:rsidR="0004540F" w:rsidRDefault="0004540F" w:rsidP="0004540F">
      <w:pPr>
        <w:spacing w:after="0"/>
      </w:pPr>
      <w:r>
        <w:t xml:space="preserve"> </w:t>
      </w:r>
      <w:r w:rsidR="009910A4" w:rsidRPr="00DF5D56">
        <w:rPr>
          <w:b/>
          <w:bCs/>
          <w:i/>
          <w:iCs/>
        </w:rPr>
        <w:t xml:space="preserve">Sentence </w:t>
      </w:r>
      <w:r w:rsidR="009910A4">
        <w:rPr>
          <w:b/>
          <w:bCs/>
          <w:i/>
          <w:iCs/>
        </w:rPr>
        <w:t>1</w:t>
      </w:r>
      <w:r>
        <w:t xml:space="preserve"> - </w:t>
      </w:r>
      <w:r w:rsidR="009910A4" w:rsidRPr="009910A4">
        <w:t xml:space="preserve">Engagement is deepened by utilizing multimodal resources and authentic peer exemplars that resonate with diverse learning preferences, helping mature-aged and international students connect personally with the curriculum. </w:t>
      </w:r>
    </w:p>
    <w:p w14:paraId="154DD61E" w14:textId="75DFC6AB" w:rsidR="00D40498" w:rsidRPr="0077511D" w:rsidRDefault="0004540F" w:rsidP="0004540F">
      <w:pPr>
        <w:spacing w:after="0"/>
      </w:pPr>
      <w:r>
        <w:t xml:space="preserve"> </w:t>
      </w:r>
      <w:r w:rsidR="009910A4" w:rsidRPr="00DF5D56">
        <w:rPr>
          <w:b/>
          <w:bCs/>
          <w:i/>
          <w:iCs/>
        </w:rPr>
        <w:t xml:space="preserve">Sentence </w:t>
      </w:r>
      <w:r w:rsidR="009910A4">
        <w:rPr>
          <w:b/>
          <w:bCs/>
          <w:i/>
          <w:iCs/>
        </w:rPr>
        <w:t>2</w:t>
      </w:r>
      <w:r>
        <w:t xml:space="preserve"> - </w:t>
      </w:r>
      <w:r w:rsidR="009910A4" w:rsidRPr="009910A4">
        <w:t>Strategically timed workshops foster sustained momentum during the trimester, demystifying complex assessments and building student self-efficacy through active participation and collegiate sharing of successful learning strategies</w:t>
      </w:r>
      <w:r w:rsidR="009910A4">
        <w:t>.</w:t>
      </w:r>
      <w:r w:rsidR="009910A4" w:rsidRPr="009910A4">
        <w:t xml:space="preserve"> </w:t>
      </w:r>
    </w:p>
    <w:p w14:paraId="38B75583" w14:textId="0BA65510" w:rsidR="0004540F" w:rsidRDefault="0004540F" w:rsidP="0004540F">
      <w:pPr>
        <w:spacing w:after="0"/>
      </w:pPr>
      <w:r w:rsidRPr="0004540F">
        <w:rPr>
          <w:b/>
        </w:rPr>
        <w:t xml:space="preserve">Curriculum </w:t>
      </w:r>
      <w:r w:rsidR="008C7E8B" w:rsidRPr="0004540F">
        <w:rPr>
          <w:b/>
        </w:rPr>
        <w:t>Development:</w:t>
      </w:r>
      <w:r>
        <w:t xml:space="preserve"> </w:t>
      </w:r>
      <w:r w:rsidR="009910A4">
        <w:t>NA</w:t>
      </w:r>
    </w:p>
    <w:p w14:paraId="6C584FEA" w14:textId="3B58636E" w:rsidR="0004540F" w:rsidRDefault="0004540F" w:rsidP="0004540F">
      <w:pPr>
        <w:spacing w:after="0"/>
        <w:rPr>
          <w:b/>
        </w:rPr>
      </w:pPr>
      <w:r w:rsidRPr="0004540F">
        <w:rPr>
          <w:b/>
        </w:rPr>
        <w:t>5. Valuable Sources and References:</w:t>
      </w:r>
    </w:p>
    <w:p w14:paraId="77E1242C" w14:textId="06E635B5" w:rsidR="0077511D" w:rsidRPr="0077511D" w:rsidRDefault="0004540F" w:rsidP="0077511D">
      <w:pPr>
        <w:spacing w:after="0"/>
      </w:pPr>
      <w:r w:rsidRPr="00CC4D92">
        <w:rPr>
          <w:b/>
        </w:rPr>
        <w:t>Source 1</w:t>
      </w:r>
      <w:r w:rsidR="00D40498">
        <w:rPr>
          <w:b/>
        </w:rPr>
        <w:t>:</w:t>
      </w:r>
      <w:r>
        <w:t xml:space="preserve"> </w:t>
      </w:r>
      <w:r w:rsidR="0077511D">
        <w:t>An</w:t>
      </w:r>
      <w:r w:rsidR="0077511D" w:rsidRPr="0077511D">
        <w:t xml:space="preserve"> update</w:t>
      </w:r>
      <w:r w:rsidR="0077511D">
        <w:t xml:space="preserve"> on</w:t>
      </w:r>
      <w:r w:rsidR="0077511D" w:rsidRPr="0077511D">
        <w:t xml:space="preserve"> note-taking research, revealing that while students remain flexible across digital</w:t>
      </w:r>
      <w:r w:rsidR="0077511D">
        <w:t>/</w:t>
      </w:r>
      <w:r w:rsidR="0077511D" w:rsidRPr="0077511D">
        <w:t xml:space="preserve">traditional platforms, their strategic decisions require guidance. </w:t>
      </w:r>
    </w:p>
    <w:p w14:paraId="12FEAF3C" w14:textId="13359A0F" w:rsidR="0004540F" w:rsidRPr="0077511D" w:rsidRDefault="0077511D" w:rsidP="0004540F">
      <w:pPr>
        <w:spacing w:after="0"/>
        <w:rPr>
          <w:b/>
          <w:bCs/>
        </w:rPr>
      </w:pPr>
      <w:r w:rsidRPr="0077511D">
        <w:rPr>
          <w:b/>
          <w:bCs/>
        </w:rPr>
        <w:t>https://doi.org/10.1080/09658211.2019.1569694</w:t>
      </w:r>
    </w:p>
    <w:p w14:paraId="0E3392BC" w14:textId="33AF8838" w:rsidR="0077511D" w:rsidRPr="0077511D" w:rsidRDefault="0004540F" w:rsidP="0077511D">
      <w:pPr>
        <w:spacing w:after="0"/>
        <w:rPr>
          <w:b/>
        </w:rPr>
      </w:pPr>
      <w:r w:rsidRPr="00CC4D92">
        <w:rPr>
          <w:b/>
        </w:rPr>
        <w:t>Source 2:</w:t>
      </w:r>
      <w:r w:rsidR="0077511D" w:rsidRPr="0077511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7511D" w:rsidRPr="0077511D">
        <w:rPr>
          <w:bCs/>
        </w:rPr>
        <w:t>A systematic review of long-term note-taking interventions demonstrates that targeted instruction significantly enhances both student note quality and content mastery.</w:t>
      </w:r>
      <w:r w:rsidR="0077511D" w:rsidRPr="0077511D">
        <w:rPr>
          <w:b/>
        </w:rPr>
        <w:t xml:space="preserve"> </w:t>
      </w:r>
    </w:p>
    <w:p w14:paraId="2C0187C2" w14:textId="29B101BD" w:rsidR="0004540F" w:rsidRDefault="0077511D" w:rsidP="0004540F">
      <w:pPr>
        <w:spacing w:after="0"/>
      </w:pPr>
      <w:r w:rsidRPr="0077511D">
        <w:rPr>
          <w:b/>
        </w:rPr>
        <w:t xml:space="preserve"> https://doi.org/10.1080/19345747.2015.1105894</w:t>
      </w:r>
    </w:p>
    <w:p w14:paraId="51C1F1C5" w14:textId="4BCB8331" w:rsidR="0004540F" w:rsidRDefault="0004540F" w:rsidP="0004540F">
      <w:pPr>
        <w:spacing w:after="0"/>
        <w:rPr>
          <w:b/>
        </w:rPr>
      </w:pPr>
      <w:r w:rsidRPr="0004540F">
        <w:rPr>
          <w:b/>
        </w:rPr>
        <w:t>6. Weakness and Area for Future Research:</w:t>
      </w:r>
    </w:p>
    <w:p w14:paraId="1864F9AC" w14:textId="5CF59908" w:rsidR="0004540F" w:rsidRDefault="0004540F" w:rsidP="0004540F">
      <w:pPr>
        <w:spacing w:after="0"/>
      </w:pPr>
      <w:r w:rsidRPr="00CC4D92">
        <w:rPr>
          <w:b/>
        </w:rPr>
        <w:t>Weakness:</w:t>
      </w:r>
      <w:r>
        <w:t xml:space="preserve"> </w:t>
      </w:r>
      <w:r w:rsidR="0077511D">
        <w:t>The timing of second workshop could have been earlier in the trimester to allow more time for learners to utilise its benefits</w:t>
      </w:r>
    </w:p>
    <w:p w14:paraId="27E2292E" w14:textId="36AE26B5" w:rsidR="00797C68" w:rsidRDefault="0004540F" w:rsidP="0004540F">
      <w:pPr>
        <w:spacing w:after="0"/>
      </w:pPr>
      <w:r w:rsidRPr="00CC4D92">
        <w:rPr>
          <w:b/>
        </w:rPr>
        <w:t xml:space="preserve">Future </w:t>
      </w:r>
      <w:r w:rsidR="00D40498" w:rsidRPr="00CC4D92">
        <w:rPr>
          <w:b/>
        </w:rPr>
        <w:t>Research:</w:t>
      </w:r>
      <w:r w:rsidR="00D40498">
        <w:t xml:space="preserve"> </w:t>
      </w:r>
      <w:r w:rsidR="0077511D">
        <w:t>Collate student perception of this intervention to inform better design and delivery.</w:t>
      </w:r>
    </w:p>
    <w:sectPr w:rsidR="00797C68" w:rsidSect="009E4F9B">
      <w:footerReference w:type="default" r:id="rId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60D2" w14:textId="77777777" w:rsidR="00D83051" w:rsidRDefault="00D83051" w:rsidP="00342DC1">
      <w:pPr>
        <w:spacing w:after="0" w:line="240" w:lineRule="auto"/>
      </w:pPr>
      <w:r>
        <w:separator/>
      </w:r>
    </w:p>
  </w:endnote>
  <w:endnote w:type="continuationSeparator" w:id="0">
    <w:p w14:paraId="16C523A2" w14:textId="77777777" w:rsidR="00D83051" w:rsidRDefault="00D83051" w:rsidP="0034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32E7" w14:textId="1885FEE5" w:rsidR="00342DC1" w:rsidRPr="00D40498" w:rsidRDefault="00D40498">
    <w:pPr>
      <w:pStyle w:val="Footer"/>
      <w:rPr>
        <w:sz w:val="18"/>
        <w:szCs w:val="18"/>
      </w:rPr>
    </w:pPr>
    <w:r w:rsidRPr="00D40498">
      <w:rPr>
        <w:sz w:val="18"/>
        <w:szCs w:val="18"/>
      </w:rPr>
      <w:t>Presentation Synopsis for L&amp;T Symposium 202</w:t>
    </w:r>
    <w:r w:rsidR="00B1703A">
      <w:rPr>
        <w:sz w:val="18"/>
        <w:szCs w:val="18"/>
      </w:rPr>
      <w:t>6</w:t>
    </w:r>
    <w:r w:rsidR="008C7E8B">
      <w:rPr>
        <w:sz w:val="18"/>
        <w:szCs w:val="18"/>
      </w:rPr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94CE" w14:textId="77777777" w:rsidR="00D83051" w:rsidRDefault="00D83051" w:rsidP="00342DC1">
      <w:pPr>
        <w:spacing w:after="0" w:line="240" w:lineRule="auto"/>
      </w:pPr>
      <w:r>
        <w:separator/>
      </w:r>
    </w:p>
  </w:footnote>
  <w:footnote w:type="continuationSeparator" w:id="0">
    <w:p w14:paraId="3C338313" w14:textId="77777777" w:rsidR="00D83051" w:rsidRDefault="00D83051" w:rsidP="00342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BA"/>
    <w:rsid w:val="0004540F"/>
    <w:rsid w:val="000610DF"/>
    <w:rsid w:val="001D16BA"/>
    <w:rsid w:val="00342DC1"/>
    <w:rsid w:val="005B50BD"/>
    <w:rsid w:val="00685B51"/>
    <w:rsid w:val="00721074"/>
    <w:rsid w:val="00770B39"/>
    <w:rsid w:val="0077511D"/>
    <w:rsid w:val="00797C68"/>
    <w:rsid w:val="008A4358"/>
    <w:rsid w:val="008C7E8B"/>
    <w:rsid w:val="00934B84"/>
    <w:rsid w:val="00977051"/>
    <w:rsid w:val="009910A4"/>
    <w:rsid w:val="009E4F9B"/>
    <w:rsid w:val="00A27A66"/>
    <w:rsid w:val="00AC432A"/>
    <w:rsid w:val="00B1703A"/>
    <w:rsid w:val="00BB4FCA"/>
    <w:rsid w:val="00CA54E4"/>
    <w:rsid w:val="00CB52AE"/>
    <w:rsid w:val="00CC4D92"/>
    <w:rsid w:val="00D40498"/>
    <w:rsid w:val="00D806D3"/>
    <w:rsid w:val="00D83051"/>
    <w:rsid w:val="00D91508"/>
    <w:rsid w:val="00DF5D56"/>
    <w:rsid w:val="00F6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FE2C"/>
  <w15:chartTrackingRefBased/>
  <w15:docId w15:val="{44E6285D-000C-4626-98AC-83AC2C48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4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C1"/>
  </w:style>
  <w:style w:type="paragraph" w:styleId="Footer">
    <w:name w:val="footer"/>
    <w:basedOn w:val="Normal"/>
    <w:link w:val="Foot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C1"/>
  </w:style>
  <w:style w:type="paragraph" w:customStyle="1" w:styleId="Authoraddress">
    <w:name w:val="Author address"/>
    <w:basedOn w:val="Normal"/>
    <w:qFormat/>
    <w:rsid w:val="00685B51"/>
    <w:pPr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Authornames">
    <w:name w:val="Author names"/>
    <w:basedOn w:val="Normal"/>
    <w:qFormat/>
    <w:rsid w:val="00685B51"/>
    <w:pPr>
      <w:spacing w:after="0" w:line="24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Matthews</dc:creator>
  <cp:keywords/>
  <dc:description/>
  <cp:lastModifiedBy>Mansi Dass Singh</cp:lastModifiedBy>
  <cp:revision>4</cp:revision>
  <dcterms:created xsi:type="dcterms:W3CDTF">2026-06-29T04:20:00Z</dcterms:created>
  <dcterms:modified xsi:type="dcterms:W3CDTF">2026-06-29T04:25:00Z</dcterms:modified>
</cp:coreProperties>
</file>